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2759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7A468F" w:rsidP="002F01DD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922D1D">
              <w:rPr>
                <w:rFonts w:ascii="Arial" w:eastAsia="Calibri" w:hAnsi="Arial" w:cs="Arial"/>
                <w:b/>
                <w:color w:val="0070C0"/>
                <w:lang w:eastAsia="en-US"/>
              </w:rPr>
              <w:t>Návrh výdajů státního rozpočtu na výzkum, vývoj a inovace na rok 2016 a střednědobého výhledu na léta 2017 a 2018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9870E8" w:rsidRDefault="007A468F" w:rsidP="00AE5C5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800449">
              <w:rPr>
                <w:rFonts w:ascii="Arial" w:hAnsi="Arial" w:cs="Arial"/>
                <w:b/>
                <w:color w:val="0070C0"/>
                <w:sz w:val="28"/>
                <w:szCs w:val="28"/>
              </w:rPr>
              <w:t>30</w:t>
            </w:r>
            <w:r w:rsidR="008B091A" w:rsidRPr="00800449">
              <w:rPr>
                <w:rFonts w:ascii="Arial" w:hAnsi="Arial" w:cs="Arial"/>
                <w:b/>
                <w:color w:val="0070C0"/>
                <w:sz w:val="28"/>
                <w:szCs w:val="28"/>
              </w:rPr>
              <w:t>4/A</w:t>
            </w:r>
            <w:r w:rsidR="00CF71EF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bookmarkStart w:id="0" w:name="_GoBack"/>
            <w:bookmarkEnd w:id="0"/>
            <w:r w:rsidR="00F44FAD">
              <w:rPr>
                <w:rFonts w:ascii="Arial" w:hAnsi="Arial" w:cs="Arial"/>
                <w:b/>
                <w:color w:val="0070C0"/>
                <w:sz w:val="28"/>
                <w:szCs w:val="28"/>
              </w:rPr>
              <w:t>-u</w:t>
            </w:r>
          </w:p>
        </w:tc>
      </w:tr>
      <w:tr w:rsidR="008F77F6" w:rsidRPr="00DE2BC0" w:rsidTr="00CC7349">
        <w:tc>
          <w:tcPr>
            <w:tcW w:w="351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778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800449" w:rsidRDefault="000056E5" w:rsidP="00800449">
            <w:pPr>
              <w:rPr>
                <w:rFonts w:ascii="Arial" w:hAnsi="Arial" w:cs="Arial"/>
                <w:sz w:val="22"/>
                <w:szCs w:val="22"/>
              </w:rPr>
            </w:pPr>
            <w:r w:rsidRPr="00800449">
              <w:rPr>
                <w:rFonts w:ascii="Arial" w:hAnsi="Arial" w:cs="Arial"/>
                <w:i/>
                <w:sz w:val="22"/>
                <w:szCs w:val="22"/>
              </w:rPr>
              <w:t xml:space="preserve">Mgr. </w:t>
            </w:r>
            <w:proofErr w:type="spellStart"/>
            <w:r w:rsidRPr="00800449">
              <w:rPr>
                <w:rFonts w:ascii="Arial" w:hAnsi="Arial" w:cs="Arial"/>
                <w:i/>
                <w:sz w:val="22"/>
                <w:szCs w:val="22"/>
              </w:rPr>
              <w:t>Marks</w:t>
            </w:r>
            <w:proofErr w:type="spellEnd"/>
          </w:p>
        </w:tc>
      </w:tr>
      <w:tr w:rsidR="008F77F6" w:rsidRPr="00DE2BC0" w:rsidTr="00CC7349">
        <w:tc>
          <w:tcPr>
            <w:tcW w:w="351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778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0056E5" w:rsidP="00800449">
            <w:pPr>
              <w:ind w:left="34"/>
              <w:rPr>
                <w:rFonts w:ascii="Arial" w:hAnsi="Arial" w:cs="Arial"/>
                <w:i/>
                <w:sz w:val="22"/>
                <w:szCs w:val="22"/>
              </w:rPr>
            </w:pPr>
            <w:r w:rsidRPr="00E95D2D">
              <w:rPr>
                <w:rFonts w:ascii="Arial" w:hAnsi="Arial" w:cs="Arial"/>
                <w:i/>
                <w:sz w:val="22"/>
                <w:szCs w:val="22"/>
              </w:rPr>
              <w:t>Ing. Korbelová</w:t>
            </w:r>
            <w:r w:rsidR="00800449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sz w:val="22"/>
                <w:szCs w:val="22"/>
              </w:rPr>
              <w:t>O</w:t>
            </w:r>
            <w:r w:rsidR="00800449">
              <w:rPr>
                <w:rFonts w:ascii="Arial" w:hAnsi="Arial" w:cs="Arial"/>
                <w:i/>
                <w:sz w:val="22"/>
                <w:szCs w:val="22"/>
              </w:rPr>
              <w:t xml:space="preserve">dbor analýz a koordinace </w:t>
            </w:r>
            <w:proofErr w:type="spellStart"/>
            <w:r w:rsidR="00800449">
              <w:rPr>
                <w:rFonts w:ascii="Arial" w:hAnsi="Arial" w:cs="Arial"/>
                <w:i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8B091A">
              <w:rPr>
                <w:rFonts w:ascii="Arial" w:hAnsi="Arial" w:cs="Arial"/>
                <w:i/>
                <w:sz w:val="22"/>
                <w:szCs w:val="22"/>
              </w:rPr>
              <w:t>21.</w:t>
            </w:r>
            <w:r w:rsidR="00466A7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091A">
              <w:rPr>
                <w:rFonts w:ascii="Arial" w:hAnsi="Arial" w:cs="Arial"/>
                <w:i/>
                <w:sz w:val="22"/>
                <w:szCs w:val="22"/>
              </w:rPr>
              <w:t>4.</w:t>
            </w:r>
            <w:r w:rsidR="00466A76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8B091A">
              <w:rPr>
                <w:rFonts w:ascii="Arial" w:hAnsi="Arial" w:cs="Arial"/>
                <w:i/>
                <w:sz w:val="22"/>
                <w:szCs w:val="22"/>
              </w:rPr>
              <w:t>2015</w:t>
            </w:r>
          </w:p>
        </w:tc>
      </w:tr>
      <w:tr w:rsidR="008F77F6" w:rsidRPr="00DE2BC0" w:rsidTr="004C5CC6">
        <w:trPr>
          <w:trHeight w:val="673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322BBA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322BB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056E5" w:rsidRPr="00322BBA" w:rsidRDefault="000056E5" w:rsidP="00CC7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8" w:history="1">
              <w:r w:rsidRPr="00322BBA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322BBA">
              <w:rPr>
                <w:rFonts w:ascii="Arial" w:hAnsi="Arial" w:cs="Arial"/>
                <w:sz w:val="22"/>
                <w:szCs w:val="22"/>
              </w:rPr>
              <w:t xml:space="preserve"> návrh střednědobého výhledu podpory výzkumu, vývoje a</w:t>
            </w:r>
            <w:r w:rsidR="00C3378E">
              <w:rPr>
                <w:rFonts w:ascii="Arial" w:hAnsi="Arial" w:cs="Arial"/>
                <w:sz w:val="22"/>
                <w:szCs w:val="22"/>
              </w:rPr>
              <w:t> </w:t>
            </w:r>
            <w:r w:rsidRPr="00322BBA">
              <w:rPr>
                <w:rFonts w:ascii="Arial" w:hAnsi="Arial" w:cs="Arial"/>
                <w:sz w:val="22"/>
                <w:szCs w:val="22"/>
              </w:rPr>
              <w:t>inovací a návrh výše celkových výdajů na výzkum, vývoj a inovace jednotlivých rozpočtových kapitol  a návrh jejich rozdělení.</w:t>
            </w:r>
          </w:p>
          <w:p w:rsidR="000056E5" w:rsidRPr="00322BBA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V předkládaném „Návrhu výdajů státního rozpočtu České republiky na výzkum, experimentální vývoj a inovace na rok 2016 s výhledem na léta 2017 a 2018“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 xml:space="preserve"> (dále jen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>„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>návrh rozpočtu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>“</w:t>
            </w:r>
            <w:r w:rsidR="00322BBA">
              <w:rPr>
                <w:rFonts w:ascii="Arial" w:hAnsi="Arial" w:cs="Arial"/>
                <w:sz w:val="22"/>
                <w:szCs w:val="22"/>
              </w:rPr>
              <w:t xml:space="preserve">)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jsou </w:t>
            </w:r>
            <w:r w:rsidRPr="00322BBA">
              <w:rPr>
                <w:rFonts w:ascii="Arial" w:hAnsi="Arial" w:cs="Arial"/>
                <w:b/>
                <w:sz w:val="22"/>
                <w:szCs w:val="22"/>
              </w:rPr>
              <w:t>celkové objemy výdajů navrženy takto:</w:t>
            </w:r>
          </w:p>
          <w:p w:rsidR="000056E5" w:rsidRPr="00322BBA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2BBA">
              <w:rPr>
                <w:rFonts w:ascii="Arial" w:hAnsi="Arial" w:cs="Arial"/>
                <w:b/>
                <w:sz w:val="22"/>
                <w:szCs w:val="22"/>
              </w:rPr>
              <w:t>na r. 2016 celkem 28 666 394 tis. Kč,</w:t>
            </w:r>
          </w:p>
          <w:p w:rsidR="000056E5" w:rsidRPr="00322BBA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2BBA">
              <w:rPr>
                <w:rFonts w:ascii="Arial" w:hAnsi="Arial" w:cs="Arial"/>
                <w:b/>
                <w:sz w:val="22"/>
                <w:szCs w:val="22"/>
              </w:rPr>
              <w:t>na r. 2</w:t>
            </w:r>
            <w:r w:rsidR="008E23A9" w:rsidRPr="00322BBA">
              <w:rPr>
                <w:rFonts w:ascii="Arial" w:hAnsi="Arial" w:cs="Arial"/>
                <w:b/>
                <w:sz w:val="22"/>
                <w:szCs w:val="22"/>
              </w:rPr>
              <w:t xml:space="preserve">017 celkem 29 271 890 tis. Kč </w:t>
            </w:r>
          </w:p>
          <w:p w:rsidR="000056E5" w:rsidRPr="00322BBA" w:rsidRDefault="000056E5" w:rsidP="00CC7349">
            <w:pPr>
              <w:spacing w:after="12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322BBA">
              <w:rPr>
                <w:rFonts w:ascii="Arial" w:hAnsi="Arial" w:cs="Arial"/>
                <w:b/>
                <w:sz w:val="22"/>
                <w:szCs w:val="22"/>
              </w:rPr>
              <w:t>na r. 2018 celkem 29 871 890 tis. Kč.</w:t>
            </w:r>
          </w:p>
          <w:p w:rsidR="008B091A" w:rsidRPr="00322BBA" w:rsidRDefault="008E23A9" w:rsidP="008E23A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 xml:space="preserve">Je předložen </w:t>
            </w:r>
            <w:r w:rsidR="00C3378E">
              <w:rPr>
                <w:rFonts w:ascii="Arial" w:hAnsi="Arial" w:cs="Arial"/>
                <w:sz w:val="22"/>
                <w:szCs w:val="22"/>
              </w:rPr>
              <w:t>kompletní</w:t>
            </w:r>
            <w:r w:rsidR="00C3378E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056E5" w:rsidRPr="00322BBA">
              <w:rPr>
                <w:rFonts w:ascii="Arial" w:hAnsi="Arial" w:cs="Arial"/>
                <w:sz w:val="22"/>
                <w:szCs w:val="22"/>
              </w:rPr>
              <w:t>materiál „Návrh výdajů státního rozpočtu České republiky na</w:t>
            </w:r>
            <w:r w:rsidR="00800449">
              <w:rPr>
                <w:rFonts w:ascii="Arial" w:hAnsi="Arial" w:cs="Arial"/>
                <w:sz w:val="22"/>
                <w:szCs w:val="22"/>
              </w:rPr>
              <w:t> </w:t>
            </w:r>
            <w:r w:rsidR="000056E5" w:rsidRPr="00322BBA">
              <w:rPr>
                <w:rFonts w:ascii="Arial" w:hAnsi="Arial" w:cs="Arial"/>
                <w:sz w:val="22"/>
                <w:szCs w:val="22"/>
              </w:rPr>
              <w:t xml:space="preserve">výzkum, experimentální vývoj a inovace na rok 2016 s výhledem na léta 2017 a </w:t>
            </w:r>
            <w:r w:rsidRPr="00322BBA">
              <w:rPr>
                <w:rFonts w:ascii="Arial" w:hAnsi="Arial" w:cs="Arial"/>
                <w:sz w:val="22"/>
                <w:szCs w:val="22"/>
              </w:rPr>
              <w:t>2018“ (</w:t>
            </w:r>
            <w:r w:rsidR="00FE0D77">
              <w:rPr>
                <w:rFonts w:ascii="Arial" w:hAnsi="Arial" w:cs="Arial"/>
                <w:sz w:val="22"/>
                <w:szCs w:val="22"/>
              </w:rPr>
              <w:t>včetně návrhu na vypořádání mezirezortního připomínkového řízení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 xml:space="preserve">). </w:t>
            </w:r>
            <w:r w:rsidR="000056E5" w:rsidRPr="00322BBA">
              <w:rPr>
                <w:rFonts w:ascii="Arial" w:hAnsi="Arial" w:cs="Arial"/>
                <w:sz w:val="22"/>
                <w:szCs w:val="22"/>
              </w:rPr>
              <w:t>Materiál byl souběžně připravován v úzké součinnosti s poskytovateli v rámci pracovní</w:t>
            </w:r>
            <w:r w:rsidR="00322BBA">
              <w:rPr>
                <w:rFonts w:ascii="Arial" w:hAnsi="Arial" w:cs="Arial"/>
                <w:sz w:val="22"/>
                <w:szCs w:val="22"/>
              </w:rPr>
              <w:t>ch</w:t>
            </w:r>
            <w:r w:rsidR="000056E5" w:rsidRPr="00322BBA">
              <w:rPr>
                <w:rFonts w:ascii="Arial" w:hAnsi="Arial" w:cs="Arial"/>
                <w:sz w:val="22"/>
                <w:szCs w:val="22"/>
              </w:rPr>
              <w:t xml:space="preserve"> skupin </w:t>
            </w:r>
            <w:r w:rsidR="00322BBA">
              <w:rPr>
                <w:rFonts w:ascii="Arial" w:hAnsi="Arial" w:cs="Arial"/>
                <w:sz w:val="22"/>
                <w:szCs w:val="22"/>
              </w:rPr>
              <w:t>(PS Rozpočet)</w:t>
            </w:r>
            <w:r w:rsidR="000056E5" w:rsidRPr="00322BBA">
              <w:rPr>
                <w:rFonts w:ascii="Arial" w:hAnsi="Arial" w:cs="Arial"/>
                <w:sz w:val="22"/>
                <w:szCs w:val="22"/>
              </w:rPr>
              <w:t>.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 xml:space="preserve"> Návrh rozpočtu na VaVaI na roky 2016 - 2018 byl projednán R</w:t>
            </w:r>
            <w:r w:rsidR="00842259">
              <w:rPr>
                <w:rFonts w:ascii="Arial" w:hAnsi="Arial" w:cs="Arial"/>
                <w:sz w:val="22"/>
                <w:szCs w:val="22"/>
              </w:rPr>
              <w:t>adou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 xml:space="preserve"> dne 27.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>3.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00449">
              <w:rPr>
                <w:rFonts w:ascii="Arial" w:hAnsi="Arial" w:cs="Arial"/>
                <w:sz w:val="22"/>
                <w:szCs w:val="22"/>
              </w:rPr>
              <w:t xml:space="preserve">2015. 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>Na</w:t>
            </w:r>
            <w:r w:rsidR="00800449">
              <w:rPr>
                <w:rFonts w:ascii="Arial" w:hAnsi="Arial" w:cs="Arial"/>
                <w:sz w:val="22"/>
                <w:szCs w:val="22"/>
              </w:rPr>
              <w:t> 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 xml:space="preserve">základě usnesení 303. </w:t>
            </w:r>
            <w:r w:rsidR="00842259">
              <w:rPr>
                <w:rFonts w:ascii="Arial" w:hAnsi="Arial" w:cs="Arial"/>
                <w:sz w:val="22"/>
                <w:szCs w:val="22"/>
              </w:rPr>
              <w:t>Rady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 xml:space="preserve"> k bodu A1) byl materiál dne 30.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>3. 2015 zaslán do</w:t>
            </w:r>
            <w:r w:rsidR="00755807">
              <w:rPr>
                <w:rFonts w:ascii="Arial" w:hAnsi="Arial" w:cs="Arial"/>
                <w:sz w:val="22"/>
                <w:szCs w:val="22"/>
              </w:rPr>
              <w:t> </w:t>
            </w:r>
            <w:r w:rsidR="00322BBA">
              <w:rPr>
                <w:rFonts w:ascii="Arial" w:hAnsi="Arial" w:cs="Arial"/>
                <w:sz w:val="22"/>
                <w:szCs w:val="22"/>
              </w:rPr>
              <w:t xml:space="preserve">mezirezortního </w:t>
            </w:r>
            <w:r w:rsidR="008B091A" w:rsidRPr="00322BBA">
              <w:rPr>
                <w:rFonts w:ascii="Arial" w:hAnsi="Arial" w:cs="Arial"/>
                <w:sz w:val="22"/>
                <w:szCs w:val="22"/>
              </w:rPr>
              <w:t xml:space="preserve">připomínkového řízení. Připomínkové řízení bylo ukončeno dne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>7.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>4.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 xml:space="preserve">2015. </w:t>
            </w:r>
          </w:p>
          <w:p w:rsidR="005B1A47" w:rsidRDefault="000C521F" w:rsidP="000E18C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K návrhu bylo uplatněno celkem 122 zásadníc</w:t>
            </w:r>
            <w:r w:rsidR="005B1A47">
              <w:rPr>
                <w:rFonts w:ascii="Arial" w:hAnsi="Arial" w:cs="Arial"/>
                <w:sz w:val="22"/>
                <w:szCs w:val="22"/>
              </w:rPr>
              <w:t xml:space="preserve">h a doporučujících připomínek. </w:t>
            </w:r>
            <w:r w:rsidRPr="00322BBA">
              <w:rPr>
                <w:rFonts w:ascii="Arial" w:hAnsi="Arial" w:cs="Arial"/>
                <w:sz w:val="22"/>
                <w:szCs w:val="22"/>
              </w:rPr>
              <w:t>Zásadní</w:t>
            </w:r>
            <w:r w:rsidR="005B1A47">
              <w:rPr>
                <w:rFonts w:ascii="Arial" w:hAnsi="Arial" w:cs="Arial"/>
                <w:sz w:val="22"/>
                <w:szCs w:val="22"/>
              </w:rPr>
              <w:t> 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připomínky </w:t>
            </w:r>
            <w:r w:rsidR="00C3378E">
              <w:rPr>
                <w:rFonts w:ascii="Arial" w:hAnsi="Arial" w:cs="Arial"/>
                <w:sz w:val="22"/>
                <w:szCs w:val="22"/>
              </w:rPr>
              <w:t>byly zaslány od</w:t>
            </w:r>
            <w:r w:rsidR="00C3378E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2BBA">
              <w:rPr>
                <w:rFonts w:ascii="Arial" w:hAnsi="Arial" w:cs="Arial"/>
                <w:sz w:val="22"/>
                <w:szCs w:val="22"/>
              </w:rPr>
              <w:t>MF, MPO, MŠMT, MŽP, MZV,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 xml:space="preserve"> MD,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 xml:space="preserve"> MMR,</w:t>
            </w:r>
            <w:r w:rsid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>AV ČR, GA</w:t>
            </w:r>
            <w:r w:rsidR="005B1A47">
              <w:rPr>
                <w:rFonts w:ascii="Arial" w:hAnsi="Arial" w:cs="Arial"/>
                <w:sz w:val="22"/>
                <w:szCs w:val="22"/>
              </w:rPr>
              <w:t> 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>ČR</w:t>
            </w:r>
            <w:r w:rsidR="00C3378E">
              <w:rPr>
                <w:rFonts w:ascii="Arial" w:hAnsi="Arial" w:cs="Arial"/>
                <w:sz w:val="22"/>
                <w:szCs w:val="22"/>
              </w:rPr>
              <w:t>,</w:t>
            </w:r>
            <w:r w:rsidR="00322BBA">
              <w:rPr>
                <w:rFonts w:ascii="Arial" w:hAnsi="Arial" w:cs="Arial"/>
                <w:sz w:val="22"/>
                <w:szCs w:val="22"/>
              </w:rPr>
              <w:t xml:space="preserve"> TA ČR a 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>SPČR</w:t>
            </w:r>
            <w:r w:rsidR="00322BBA">
              <w:rPr>
                <w:rFonts w:ascii="Arial" w:hAnsi="Arial" w:cs="Arial"/>
                <w:sz w:val="22"/>
                <w:szCs w:val="22"/>
              </w:rPr>
              <w:t>.</w:t>
            </w:r>
            <w:r w:rsidR="000E18CE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0E18CE" w:rsidRPr="00322BBA" w:rsidRDefault="000E18CE" w:rsidP="000E18C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 xml:space="preserve">Připomínky se týkají: </w:t>
            </w:r>
          </w:p>
          <w:p w:rsidR="000C521F" w:rsidRPr="00322BBA" w:rsidRDefault="000C521F" w:rsidP="000C521F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</w:rPr>
              <w:t>Předkládací zprávy</w:t>
            </w:r>
            <w:r w:rsidR="00FE0D77">
              <w:rPr>
                <w:rFonts w:ascii="Arial" w:hAnsi="Arial" w:cs="Arial"/>
              </w:rPr>
              <w:t xml:space="preserve"> (část II. materiálu návrh rozpočtu)</w:t>
            </w:r>
            <w:r w:rsidR="00EA7517" w:rsidRPr="00322BBA">
              <w:rPr>
                <w:rFonts w:ascii="Arial" w:hAnsi="Arial" w:cs="Arial"/>
              </w:rPr>
              <w:t xml:space="preserve"> – zejména </w:t>
            </w:r>
            <w:r w:rsidR="00322BBA">
              <w:rPr>
                <w:rFonts w:ascii="Arial" w:hAnsi="Arial" w:cs="Arial"/>
              </w:rPr>
              <w:t xml:space="preserve">odlišné názory a </w:t>
            </w:r>
            <w:r w:rsidRPr="00322BBA">
              <w:rPr>
                <w:rFonts w:ascii="Arial" w:hAnsi="Arial" w:cs="Arial"/>
              </w:rPr>
              <w:t>konstatování</w:t>
            </w:r>
            <w:r w:rsidR="00322BBA">
              <w:rPr>
                <w:rFonts w:ascii="Arial" w:hAnsi="Arial" w:cs="Arial"/>
              </w:rPr>
              <w:t xml:space="preserve">, </w:t>
            </w:r>
            <w:r w:rsidR="00EA7517" w:rsidRPr="00322BBA">
              <w:rPr>
                <w:rFonts w:ascii="Arial" w:hAnsi="Arial" w:cs="Arial"/>
              </w:rPr>
              <w:t>požadavk</w:t>
            </w:r>
            <w:r w:rsidR="00FE0D77">
              <w:rPr>
                <w:rFonts w:ascii="Arial" w:hAnsi="Arial" w:cs="Arial"/>
              </w:rPr>
              <w:t>y</w:t>
            </w:r>
            <w:r w:rsidR="00EA7517" w:rsidRPr="00322BBA">
              <w:rPr>
                <w:rFonts w:ascii="Arial" w:hAnsi="Arial" w:cs="Arial"/>
              </w:rPr>
              <w:t xml:space="preserve"> na vypuštění částí, které se týkají </w:t>
            </w:r>
            <w:r w:rsidRPr="00322BBA">
              <w:rPr>
                <w:rFonts w:ascii="Arial" w:hAnsi="Arial" w:cs="Arial"/>
              </w:rPr>
              <w:t>př</w:t>
            </w:r>
            <w:r w:rsidR="00EA7517" w:rsidRPr="00322BBA">
              <w:rPr>
                <w:rFonts w:ascii="Arial" w:hAnsi="Arial" w:cs="Arial"/>
              </w:rPr>
              <w:t>i</w:t>
            </w:r>
            <w:r w:rsidRPr="00322BBA">
              <w:rPr>
                <w:rFonts w:ascii="Arial" w:hAnsi="Arial" w:cs="Arial"/>
              </w:rPr>
              <w:t>pravo</w:t>
            </w:r>
            <w:r w:rsidR="00EA7517" w:rsidRPr="00322BBA">
              <w:rPr>
                <w:rFonts w:ascii="Arial" w:hAnsi="Arial" w:cs="Arial"/>
              </w:rPr>
              <w:t xml:space="preserve">vaných </w:t>
            </w:r>
            <w:r w:rsidRPr="00322BBA">
              <w:rPr>
                <w:rFonts w:ascii="Arial" w:hAnsi="Arial" w:cs="Arial"/>
              </w:rPr>
              <w:t>principů nového zákona</w:t>
            </w:r>
            <w:r w:rsidR="00D40240">
              <w:rPr>
                <w:rFonts w:ascii="Arial" w:hAnsi="Arial" w:cs="Arial"/>
              </w:rPr>
              <w:t>.</w:t>
            </w:r>
            <w:r w:rsidRPr="00322BBA">
              <w:rPr>
                <w:rFonts w:ascii="Arial" w:hAnsi="Arial" w:cs="Arial"/>
              </w:rPr>
              <w:t xml:space="preserve"> </w:t>
            </w:r>
          </w:p>
          <w:p w:rsidR="00FE0D77" w:rsidRDefault="000C521F" w:rsidP="00D033E1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</w:rPr>
              <w:t xml:space="preserve">Dílčích požadavků </w:t>
            </w:r>
            <w:r w:rsidR="00322BBA">
              <w:rPr>
                <w:rFonts w:ascii="Arial" w:hAnsi="Arial" w:cs="Arial"/>
              </w:rPr>
              <w:t xml:space="preserve">na navýšení rozpočtu (zejm. </w:t>
            </w:r>
            <w:r w:rsidRPr="00322BBA">
              <w:rPr>
                <w:rFonts w:ascii="Arial" w:hAnsi="Arial" w:cs="Arial"/>
              </w:rPr>
              <w:t>MŠMT</w:t>
            </w:r>
            <w:r w:rsidR="00322BBA">
              <w:rPr>
                <w:rFonts w:ascii="Arial" w:hAnsi="Arial" w:cs="Arial"/>
              </w:rPr>
              <w:t>, TA</w:t>
            </w:r>
            <w:r w:rsidR="00C3378E">
              <w:rPr>
                <w:rFonts w:ascii="Arial" w:hAnsi="Arial" w:cs="Arial"/>
              </w:rPr>
              <w:t xml:space="preserve"> </w:t>
            </w:r>
            <w:r w:rsidR="00322BBA">
              <w:rPr>
                <w:rFonts w:ascii="Arial" w:hAnsi="Arial" w:cs="Arial"/>
              </w:rPr>
              <w:t>ČR a GA</w:t>
            </w:r>
            <w:r w:rsidR="00C3378E">
              <w:rPr>
                <w:rFonts w:ascii="Arial" w:hAnsi="Arial" w:cs="Arial"/>
              </w:rPr>
              <w:t xml:space="preserve"> </w:t>
            </w:r>
            <w:r w:rsidR="00322BBA">
              <w:rPr>
                <w:rFonts w:ascii="Arial" w:hAnsi="Arial" w:cs="Arial"/>
              </w:rPr>
              <w:t>ČR</w:t>
            </w:r>
            <w:r w:rsidRPr="00322BBA">
              <w:rPr>
                <w:rFonts w:ascii="Arial" w:hAnsi="Arial" w:cs="Arial"/>
              </w:rPr>
              <w:t xml:space="preserve">).  </w:t>
            </w:r>
          </w:p>
          <w:p w:rsidR="00905206" w:rsidRPr="00322BBA" w:rsidRDefault="000C521F" w:rsidP="00D033E1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</w:rPr>
              <w:t>Připomínková místa, která nejsou poskytovatel</w:t>
            </w:r>
            <w:r w:rsidR="00C3378E">
              <w:rPr>
                <w:rFonts w:ascii="Arial" w:hAnsi="Arial" w:cs="Arial"/>
              </w:rPr>
              <w:t>i</w:t>
            </w:r>
            <w:r w:rsidRPr="00322BBA">
              <w:rPr>
                <w:rFonts w:ascii="Arial" w:hAnsi="Arial" w:cs="Arial"/>
              </w:rPr>
              <w:t xml:space="preserve"> podpory </w:t>
            </w:r>
            <w:proofErr w:type="spellStart"/>
            <w:r w:rsidRPr="00322BBA">
              <w:rPr>
                <w:rFonts w:ascii="Arial" w:hAnsi="Arial" w:cs="Arial"/>
              </w:rPr>
              <w:t>VaVaI</w:t>
            </w:r>
            <w:proofErr w:type="spellEnd"/>
            <w:r w:rsidRPr="00322BBA">
              <w:rPr>
                <w:rFonts w:ascii="Arial" w:hAnsi="Arial" w:cs="Arial"/>
              </w:rPr>
              <w:t xml:space="preserve"> (</w:t>
            </w:r>
            <w:r w:rsidR="00D033E1" w:rsidRPr="00322BBA">
              <w:rPr>
                <w:rFonts w:ascii="Arial" w:hAnsi="Arial" w:cs="Arial"/>
              </w:rPr>
              <w:t xml:space="preserve">MZV, </w:t>
            </w:r>
            <w:r w:rsidRPr="00322BBA">
              <w:rPr>
                <w:rFonts w:ascii="Arial" w:hAnsi="Arial" w:cs="Arial"/>
              </w:rPr>
              <w:t>MŽP, MD, SP</w:t>
            </w:r>
            <w:r w:rsidR="00C3378E">
              <w:rPr>
                <w:rFonts w:ascii="Arial" w:hAnsi="Arial" w:cs="Arial"/>
              </w:rPr>
              <w:t xml:space="preserve"> ČR</w:t>
            </w:r>
            <w:r w:rsidRPr="00322BBA">
              <w:rPr>
                <w:rFonts w:ascii="Arial" w:hAnsi="Arial" w:cs="Arial"/>
              </w:rPr>
              <w:t>)</w:t>
            </w:r>
            <w:r w:rsidR="00466A76">
              <w:rPr>
                <w:rFonts w:ascii="Arial" w:hAnsi="Arial" w:cs="Arial"/>
              </w:rPr>
              <w:t>,</w:t>
            </w:r>
            <w:r w:rsidRPr="00322BBA">
              <w:rPr>
                <w:rFonts w:ascii="Arial" w:hAnsi="Arial" w:cs="Arial"/>
              </w:rPr>
              <w:t xml:space="preserve"> uplatnil</w:t>
            </w:r>
            <w:r w:rsidR="00C3378E">
              <w:rPr>
                <w:rFonts w:ascii="Arial" w:hAnsi="Arial" w:cs="Arial"/>
              </w:rPr>
              <w:t>a</w:t>
            </w:r>
            <w:r w:rsidRPr="00322BBA">
              <w:rPr>
                <w:rFonts w:ascii="Arial" w:hAnsi="Arial" w:cs="Arial"/>
              </w:rPr>
              <w:t xml:space="preserve"> v převážné části téměř totožné připomínky</w:t>
            </w:r>
            <w:r w:rsidR="00FE0D77">
              <w:rPr>
                <w:rFonts w:ascii="Arial" w:hAnsi="Arial" w:cs="Arial"/>
              </w:rPr>
              <w:t xml:space="preserve"> s některými poskytovateli</w:t>
            </w:r>
            <w:r w:rsidR="00466A76">
              <w:rPr>
                <w:rFonts w:ascii="Arial" w:hAnsi="Arial" w:cs="Arial"/>
              </w:rPr>
              <w:t>,</w:t>
            </w:r>
            <w:r w:rsidR="00FE0D77">
              <w:rPr>
                <w:rFonts w:ascii="Arial" w:hAnsi="Arial" w:cs="Arial"/>
              </w:rPr>
              <w:t xml:space="preserve"> </w:t>
            </w:r>
            <w:r w:rsidR="00EA7517" w:rsidRPr="00322BBA">
              <w:rPr>
                <w:rFonts w:ascii="Arial" w:hAnsi="Arial" w:cs="Arial"/>
              </w:rPr>
              <w:t xml:space="preserve">zejm. </w:t>
            </w:r>
            <w:r w:rsidRPr="00322BBA">
              <w:rPr>
                <w:rFonts w:ascii="Arial" w:hAnsi="Arial" w:cs="Arial"/>
              </w:rPr>
              <w:t>v souvislosti s navýšením rozpočtu TAČR. MMR uplatňuje připomínky v souvislosti s koordinací strukturálních fondů</w:t>
            </w:r>
            <w:r w:rsidR="00322BBA">
              <w:rPr>
                <w:rFonts w:ascii="Arial" w:hAnsi="Arial" w:cs="Arial"/>
              </w:rPr>
              <w:t xml:space="preserve"> a odlišností terminologie v zák. č. 130/2002 Sb.</w:t>
            </w:r>
          </w:p>
          <w:p w:rsidR="00D033E1" w:rsidRPr="00322BBA" w:rsidRDefault="00D033E1" w:rsidP="00D033E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Dne 14.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2BBA">
              <w:rPr>
                <w:rFonts w:ascii="Arial" w:hAnsi="Arial" w:cs="Arial"/>
                <w:sz w:val="22"/>
                <w:szCs w:val="22"/>
              </w:rPr>
              <w:t>4.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2BBA">
              <w:rPr>
                <w:rFonts w:ascii="Arial" w:hAnsi="Arial" w:cs="Arial"/>
                <w:sz w:val="22"/>
                <w:szCs w:val="22"/>
              </w:rPr>
              <w:t>2015 proběhla jednání se všemi poskytovateli podpory VaVaI (PS I a PS II). Na</w:t>
            </w:r>
            <w:r w:rsidR="00800449">
              <w:rPr>
                <w:rFonts w:ascii="Arial" w:hAnsi="Arial" w:cs="Arial"/>
                <w:sz w:val="22"/>
                <w:szCs w:val="22"/>
              </w:rPr>
              <w:t> </w:t>
            </w:r>
            <w:r w:rsidRPr="00322BBA">
              <w:rPr>
                <w:rFonts w:ascii="Arial" w:hAnsi="Arial" w:cs="Arial"/>
                <w:sz w:val="22"/>
                <w:szCs w:val="22"/>
              </w:rPr>
              <w:t>těchto jednáních byl s poskytovateli projednán postup při vypořádání připomínek k</w:t>
            </w:r>
            <w:r w:rsidR="00800449">
              <w:rPr>
                <w:rFonts w:ascii="Arial" w:hAnsi="Arial" w:cs="Arial"/>
                <w:sz w:val="22"/>
                <w:szCs w:val="22"/>
              </w:rPr>
              <w:t> 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materiálu návrh rozpočtu. Současně byl předložen návrh upravené verze materiálu návrh rozpočtu (zkrácení </w:t>
            </w:r>
            <w:r w:rsidR="00842259">
              <w:rPr>
                <w:rFonts w:ascii="Arial" w:hAnsi="Arial" w:cs="Arial"/>
                <w:sz w:val="22"/>
                <w:szCs w:val="22"/>
              </w:rPr>
              <w:t xml:space="preserve">části II.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materiálu na základě vypořádání některých připomínek). </w:t>
            </w:r>
          </w:p>
          <w:p w:rsidR="00D033E1" w:rsidRPr="00322BBA" w:rsidRDefault="00D033E1" w:rsidP="00D033E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 xml:space="preserve">Připomínky byly projednány s poskytovateli, kteří uplatnili zásadní připomínky k materiálu dne 16. 4. 2015 v 10.00 </w:t>
            </w:r>
            <w:r w:rsidR="000513BF">
              <w:rPr>
                <w:rFonts w:ascii="Arial" w:hAnsi="Arial" w:cs="Arial"/>
                <w:sz w:val="22"/>
                <w:szCs w:val="22"/>
              </w:rPr>
              <w:t>(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v budově </w:t>
            </w:r>
            <w:r w:rsidR="000513BF">
              <w:rPr>
                <w:rFonts w:ascii="Arial" w:hAnsi="Arial" w:cs="Arial"/>
                <w:sz w:val="22"/>
                <w:szCs w:val="22"/>
              </w:rPr>
              <w:t>MD)</w:t>
            </w:r>
            <w:r w:rsidRPr="00322BBA">
              <w:rPr>
                <w:rFonts w:ascii="Arial" w:hAnsi="Arial" w:cs="Arial"/>
                <w:sz w:val="22"/>
                <w:szCs w:val="22"/>
              </w:rPr>
              <w:t>. Dne 17.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2BBA">
              <w:rPr>
                <w:rFonts w:ascii="Arial" w:hAnsi="Arial" w:cs="Arial"/>
                <w:sz w:val="22"/>
                <w:szCs w:val="22"/>
              </w:rPr>
              <w:t>4.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 xml:space="preserve">2015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byl na základě tohoto jednání 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 xml:space="preserve">zaslán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návrh vypořádání i </w:t>
            </w:r>
            <w:r w:rsidR="00C3378E">
              <w:rPr>
                <w:rFonts w:ascii="Arial" w:hAnsi="Arial" w:cs="Arial"/>
                <w:sz w:val="22"/>
                <w:szCs w:val="22"/>
              </w:rPr>
              <w:t xml:space="preserve">těm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rezortům, </w:t>
            </w:r>
            <w:r w:rsidR="00C3378E" w:rsidRPr="00322BBA">
              <w:rPr>
                <w:rFonts w:ascii="Arial" w:hAnsi="Arial" w:cs="Arial"/>
                <w:sz w:val="22"/>
                <w:szCs w:val="22"/>
              </w:rPr>
              <w:t>kte</w:t>
            </w:r>
            <w:r w:rsidR="00C3378E">
              <w:rPr>
                <w:rFonts w:ascii="Arial" w:hAnsi="Arial" w:cs="Arial"/>
                <w:sz w:val="22"/>
                <w:szCs w:val="22"/>
              </w:rPr>
              <w:t>ří</w:t>
            </w:r>
            <w:r w:rsidR="00C3378E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22BBA">
              <w:rPr>
                <w:rFonts w:ascii="Arial" w:hAnsi="Arial" w:cs="Arial"/>
                <w:sz w:val="22"/>
                <w:szCs w:val="22"/>
              </w:rPr>
              <w:t>nejsou po</w:t>
            </w:r>
            <w:r w:rsidR="00842259">
              <w:rPr>
                <w:rFonts w:ascii="Arial" w:hAnsi="Arial" w:cs="Arial"/>
                <w:sz w:val="22"/>
                <w:szCs w:val="22"/>
              </w:rPr>
              <w:t>skytovatelé (MMR, MZV, MŽP a</w:t>
            </w:r>
            <w:r w:rsidR="00800449">
              <w:rPr>
                <w:rFonts w:ascii="Arial" w:hAnsi="Arial" w:cs="Arial"/>
                <w:sz w:val="22"/>
                <w:szCs w:val="22"/>
              </w:rPr>
              <w:t> </w:t>
            </w:r>
            <w:r w:rsidR="00842259">
              <w:rPr>
                <w:rFonts w:ascii="Arial" w:hAnsi="Arial" w:cs="Arial"/>
                <w:sz w:val="22"/>
                <w:szCs w:val="22"/>
              </w:rPr>
              <w:t>MD)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>P</w:t>
            </w:r>
            <w:r w:rsidRPr="00322BBA">
              <w:rPr>
                <w:rFonts w:ascii="Arial" w:hAnsi="Arial" w:cs="Arial"/>
                <w:sz w:val="22"/>
                <w:szCs w:val="22"/>
              </w:rPr>
              <w:t>řipomínky SP</w:t>
            </w:r>
            <w:r w:rsidR="00C3378E">
              <w:rPr>
                <w:rFonts w:ascii="Arial" w:hAnsi="Arial" w:cs="Arial"/>
                <w:sz w:val="22"/>
                <w:szCs w:val="22"/>
              </w:rPr>
              <w:t xml:space="preserve"> ČR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 xml:space="preserve">byly vypořádány </w:t>
            </w:r>
            <w:r w:rsidR="000513BF">
              <w:rPr>
                <w:rFonts w:ascii="Arial" w:hAnsi="Arial" w:cs="Arial"/>
                <w:sz w:val="22"/>
                <w:szCs w:val="22"/>
              </w:rPr>
              <w:t xml:space="preserve">obdobně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jako připomínky ostatních </w:t>
            </w:r>
            <w:r w:rsidRPr="00322BBA">
              <w:rPr>
                <w:rFonts w:ascii="Arial" w:hAnsi="Arial" w:cs="Arial"/>
                <w:sz w:val="22"/>
                <w:szCs w:val="22"/>
              </w:rPr>
              <w:lastRenderedPageBreak/>
              <w:t>poskytovatelů.</w:t>
            </w:r>
          </w:p>
          <w:p w:rsidR="00466A76" w:rsidRPr="00322BBA" w:rsidRDefault="00D033E1" w:rsidP="00466A7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Z jednání s připomínkovými místy k vypořádání připomínek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 xml:space="preserve"> vyplynulo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A7517" w:rsidRPr="00322BBA">
              <w:rPr>
                <w:rFonts w:ascii="Arial" w:hAnsi="Arial" w:cs="Arial"/>
                <w:sz w:val="22"/>
                <w:szCs w:val="22"/>
              </w:rPr>
              <w:t xml:space="preserve">že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velká většina připomínek je možná řešit úpravou formulací v předkládací zprávě a jejím zkrácením. Nejzásadnější připomínky k části </w:t>
            </w:r>
            <w:r w:rsidR="000513BF">
              <w:rPr>
                <w:rFonts w:ascii="Arial" w:hAnsi="Arial" w:cs="Arial"/>
                <w:sz w:val="22"/>
                <w:szCs w:val="22"/>
              </w:rPr>
              <w:t xml:space="preserve">vlastního návrhu rozpočtu (část III. materiálu „návrh rozpočtu“)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uplatnily ze strany poskytovatelů: MF, MŠMT, TAČR a MPO. </w:t>
            </w:r>
            <w:r w:rsidR="00466A76">
              <w:rPr>
                <w:rFonts w:ascii="Arial" w:hAnsi="Arial" w:cs="Arial"/>
                <w:sz w:val="22"/>
                <w:szCs w:val="22"/>
              </w:rPr>
              <w:t>Některé připomínky jsou však ve vzájemném rozporu, tzn.</w:t>
            </w:r>
            <w:r w:rsidR="004C5CC6">
              <w:rPr>
                <w:rFonts w:ascii="Arial" w:hAnsi="Arial" w:cs="Arial"/>
                <w:sz w:val="22"/>
                <w:szCs w:val="22"/>
              </w:rPr>
              <w:t>,</w:t>
            </w:r>
            <w:r w:rsidR="00466A76">
              <w:rPr>
                <w:rFonts w:ascii="Arial" w:hAnsi="Arial" w:cs="Arial"/>
                <w:sz w:val="22"/>
                <w:szCs w:val="22"/>
              </w:rPr>
              <w:t xml:space="preserve"> že v případě vyhovění jednomu poskytovateli by vznikly další rozpory u jiných poskytovatelů apod.</w:t>
            </w:r>
          </w:p>
          <w:p w:rsidR="000C521F" w:rsidRPr="00322BBA" w:rsidRDefault="00EA7517" w:rsidP="00D033E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P</w:t>
            </w:r>
            <w:r w:rsidR="00D033E1" w:rsidRPr="00322BBA">
              <w:rPr>
                <w:rFonts w:ascii="Arial" w:hAnsi="Arial" w:cs="Arial"/>
                <w:sz w:val="22"/>
                <w:szCs w:val="22"/>
              </w:rPr>
              <w:t xml:space="preserve">o jednání </w:t>
            </w:r>
            <w:r w:rsidR="00C3378E">
              <w:rPr>
                <w:rFonts w:ascii="Arial" w:hAnsi="Arial" w:cs="Arial"/>
                <w:sz w:val="22"/>
                <w:szCs w:val="22"/>
              </w:rPr>
              <w:t>o návrhu</w:t>
            </w:r>
            <w:r w:rsidR="00C3378E" w:rsidRPr="00322BBA">
              <w:rPr>
                <w:rFonts w:ascii="Arial" w:hAnsi="Arial" w:cs="Arial"/>
                <w:sz w:val="22"/>
                <w:szCs w:val="22"/>
              </w:rPr>
              <w:t> </w:t>
            </w:r>
            <w:r w:rsidR="00D033E1" w:rsidRPr="00322BBA">
              <w:rPr>
                <w:rFonts w:ascii="Arial" w:hAnsi="Arial" w:cs="Arial"/>
                <w:sz w:val="22"/>
                <w:szCs w:val="22"/>
              </w:rPr>
              <w:t xml:space="preserve">vypořádání připomínek zůstávají následující rozpory </w:t>
            </w:r>
            <w:r w:rsidR="000513BF">
              <w:rPr>
                <w:rFonts w:ascii="Arial" w:hAnsi="Arial" w:cs="Arial"/>
                <w:sz w:val="22"/>
                <w:szCs w:val="22"/>
              </w:rPr>
              <w:t xml:space="preserve">související zejména </w:t>
            </w:r>
            <w:r w:rsidR="00C3378E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="000513BF">
              <w:rPr>
                <w:rFonts w:ascii="Arial" w:hAnsi="Arial" w:cs="Arial"/>
                <w:sz w:val="22"/>
                <w:szCs w:val="22"/>
              </w:rPr>
              <w:t>konkrétní výš</w:t>
            </w:r>
            <w:r w:rsidR="00C3378E">
              <w:rPr>
                <w:rFonts w:ascii="Arial" w:hAnsi="Arial" w:cs="Arial"/>
                <w:sz w:val="22"/>
                <w:szCs w:val="22"/>
              </w:rPr>
              <w:t>í</w:t>
            </w:r>
            <w:r w:rsidR="000513BF">
              <w:rPr>
                <w:rFonts w:ascii="Arial" w:hAnsi="Arial" w:cs="Arial"/>
                <w:sz w:val="22"/>
                <w:szCs w:val="22"/>
              </w:rPr>
              <w:t xml:space="preserve"> návrhu </w:t>
            </w:r>
            <w:r w:rsidR="00C3378E">
              <w:rPr>
                <w:rFonts w:ascii="Arial" w:hAnsi="Arial" w:cs="Arial"/>
                <w:sz w:val="22"/>
                <w:szCs w:val="22"/>
              </w:rPr>
              <w:t xml:space="preserve">výdajů </w:t>
            </w:r>
            <w:r w:rsidR="000513BF">
              <w:rPr>
                <w:rFonts w:ascii="Arial" w:hAnsi="Arial" w:cs="Arial"/>
                <w:sz w:val="22"/>
                <w:szCs w:val="22"/>
              </w:rPr>
              <w:t>danému poskytovateli</w:t>
            </w:r>
            <w:r w:rsidR="00D033E1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0C521F" w:rsidRPr="00322B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D033E1" w:rsidRPr="00322BBA" w:rsidRDefault="005B44FC" w:rsidP="005B44FC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  <w:b/>
              </w:rPr>
              <w:t xml:space="preserve">MF </w:t>
            </w:r>
            <w:r w:rsidRPr="00322BBA">
              <w:rPr>
                <w:rFonts w:ascii="Arial" w:hAnsi="Arial" w:cs="Arial"/>
              </w:rPr>
              <w:t xml:space="preserve">- </w:t>
            </w:r>
            <w:r w:rsidR="00D033E1" w:rsidRPr="00322BBA">
              <w:rPr>
                <w:rFonts w:ascii="Arial" w:hAnsi="Arial" w:cs="Arial"/>
              </w:rPr>
              <w:t>upozornilo na skutečnost, že ministr financí v současné době nepředpokládá navýšení výdajů na VaVaI na</w:t>
            </w:r>
            <w:r w:rsidRPr="00322BBA">
              <w:rPr>
                <w:rFonts w:ascii="Arial" w:hAnsi="Arial" w:cs="Arial"/>
              </w:rPr>
              <w:t>d rámec střednědobého výhledu a trvá na svých připomínkách, které nebyly akceptovány.</w:t>
            </w:r>
            <w:r w:rsidR="00EA7517" w:rsidRPr="00322BBA">
              <w:rPr>
                <w:rFonts w:ascii="Arial" w:hAnsi="Arial" w:cs="Arial"/>
              </w:rPr>
              <w:t xml:space="preserve"> Současně MF požaduje z návrhu usnesení</w:t>
            </w:r>
            <w:r w:rsidRPr="00322BBA">
              <w:rPr>
                <w:rFonts w:ascii="Arial" w:hAnsi="Arial" w:cs="Arial"/>
              </w:rPr>
              <w:t xml:space="preserve"> </w:t>
            </w:r>
            <w:r w:rsidR="00EA7517" w:rsidRPr="00322BBA">
              <w:rPr>
                <w:rFonts w:ascii="Arial" w:hAnsi="Arial" w:cs="Arial"/>
              </w:rPr>
              <w:t>vlády vypustit části, které se týkají přímo MF.</w:t>
            </w:r>
          </w:p>
          <w:p w:rsidR="00D40240" w:rsidRDefault="005B44FC" w:rsidP="00D40240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  <w:b/>
              </w:rPr>
              <w:t>MŠMT</w:t>
            </w:r>
            <w:r w:rsidR="00EA7517" w:rsidRPr="00322BBA">
              <w:rPr>
                <w:rFonts w:ascii="Arial" w:hAnsi="Arial" w:cs="Arial"/>
              </w:rPr>
              <w:t>:</w:t>
            </w:r>
          </w:p>
          <w:p w:rsidR="00EA7517" w:rsidRPr="00D40240" w:rsidRDefault="005B44FC" w:rsidP="00D40240">
            <w:pPr>
              <w:pStyle w:val="Odstavecseseznamem"/>
              <w:numPr>
                <w:ilvl w:val="2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D40240">
              <w:rPr>
                <w:rFonts w:ascii="Arial" w:hAnsi="Arial" w:cs="Arial"/>
              </w:rPr>
              <w:t>nesouhlasí s vypořádáním připomínek a trvá na svých připomínkách, včetně původního nadpožadavku dle jednání se zástupci R</w:t>
            </w:r>
            <w:r w:rsidR="00842259">
              <w:rPr>
                <w:rFonts w:ascii="Arial" w:hAnsi="Arial" w:cs="Arial"/>
              </w:rPr>
              <w:t>ady</w:t>
            </w:r>
            <w:r w:rsidRPr="00D40240">
              <w:rPr>
                <w:rFonts w:ascii="Arial" w:hAnsi="Arial" w:cs="Arial"/>
              </w:rPr>
              <w:t xml:space="preserve"> dne 4.</w:t>
            </w:r>
            <w:r w:rsidR="00466A76">
              <w:rPr>
                <w:rFonts w:ascii="Arial" w:hAnsi="Arial" w:cs="Arial"/>
              </w:rPr>
              <w:t> </w:t>
            </w:r>
            <w:r w:rsidRPr="00D40240">
              <w:rPr>
                <w:rFonts w:ascii="Arial" w:hAnsi="Arial" w:cs="Arial"/>
              </w:rPr>
              <w:t>2. a 11.</w:t>
            </w:r>
            <w:r w:rsidR="00466A76">
              <w:rPr>
                <w:rFonts w:ascii="Arial" w:hAnsi="Arial" w:cs="Arial"/>
              </w:rPr>
              <w:t xml:space="preserve"> </w:t>
            </w:r>
            <w:r w:rsidRPr="00D40240">
              <w:rPr>
                <w:rFonts w:ascii="Arial" w:hAnsi="Arial" w:cs="Arial"/>
              </w:rPr>
              <w:t>2.</w:t>
            </w:r>
            <w:r w:rsidR="00466A76">
              <w:rPr>
                <w:rFonts w:ascii="Arial" w:hAnsi="Arial" w:cs="Arial"/>
              </w:rPr>
              <w:t xml:space="preserve"> </w:t>
            </w:r>
            <w:r w:rsidRPr="00D40240">
              <w:rPr>
                <w:rFonts w:ascii="Arial" w:hAnsi="Arial" w:cs="Arial"/>
              </w:rPr>
              <w:t>2015 (1 273 mil. Kč r. 2016, 2 239 mil. Kč r. 2017, 2</w:t>
            </w:r>
            <w:r w:rsidR="005B1A47">
              <w:rPr>
                <w:rFonts w:ascii="Arial" w:hAnsi="Arial" w:cs="Arial"/>
              </w:rPr>
              <w:t> </w:t>
            </w:r>
            <w:r w:rsidRPr="00D40240">
              <w:rPr>
                <w:rFonts w:ascii="Arial" w:hAnsi="Arial" w:cs="Arial"/>
              </w:rPr>
              <w:t>161</w:t>
            </w:r>
            <w:r w:rsidR="005B1A47">
              <w:rPr>
                <w:rFonts w:ascii="Arial" w:hAnsi="Arial" w:cs="Arial"/>
              </w:rPr>
              <w:t> </w:t>
            </w:r>
            <w:r w:rsidRPr="00D40240">
              <w:rPr>
                <w:rFonts w:ascii="Arial" w:hAnsi="Arial" w:cs="Arial"/>
              </w:rPr>
              <w:t>mil. Kč r.</w:t>
            </w:r>
            <w:r w:rsidR="00EA7517" w:rsidRPr="00D40240">
              <w:rPr>
                <w:rFonts w:ascii="Arial" w:hAnsi="Arial" w:cs="Arial"/>
              </w:rPr>
              <w:t xml:space="preserve"> </w:t>
            </w:r>
            <w:r w:rsidRPr="00D40240">
              <w:rPr>
                <w:rFonts w:ascii="Arial" w:hAnsi="Arial" w:cs="Arial"/>
              </w:rPr>
              <w:t xml:space="preserve">2018). MŠMT dále </w:t>
            </w:r>
            <w:r w:rsidR="004C5CC6">
              <w:rPr>
                <w:rFonts w:ascii="Arial" w:hAnsi="Arial" w:cs="Arial"/>
              </w:rPr>
              <w:t>požaduje „</w:t>
            </w:r>
            <w:r w:rsidRPr="00D40240">
              <w:rPr>
                <w:rFonts w:ascii="Arial" w:hAnsi="Arial" w:cs="Arial"/>
              </w:rPr>
              <w:t xml:space="preserve">z prostředků 600 mil. Kč vyčleněných ze státního rozpočtu na konsolidaci </w:t>
            </w:r>
            <w:proofErr w:type="spellStart"/>
            <w:r w:rsidRPr="00D40240">
              <w:rPr>
                <w:rFonts w:ascii="Arial" w:hAnsi="Arial" w:cs="Arial"/>
              </w:rPr>
              <w:t>VaVpI</w:t>
            </w:r>
            <w:proofErr w:type="spellEnd"/>
            <w:r w:rsidRPr="00D40240">
              <w:rPr>
                <w:rFonts w:ascii="Arial" w:hAnsi="Arial" w:cs="Arial"/>
              </w:rPr>
              <w:t xml:space="preserve"> center minimálně 400 mil. Kč. MŠMT poukazuje na postupný vývoj ve</w:t>
            </w:r>
            <w:r w:rsidR="00755807">
              <w:rPr>
                <w:rFonts w:ascii="Arial" w:hAnsi="Arial" w:cs="Arial"/>
              </w:rPr>
              <w:t> </w:t>
            </w:r>
            <w:r w:rsidRPr="00D40240">
              <w:rPr>
                <w:rFonts w:ascii="Arial" w:hAnsi="Arial" w:cs="Arial"/>
              </w:rPr>
              <w:t xml:space="preserve">skutečnostech rozhodných pro přípravu </w:t>
            </w:r>
            <w:r w:rsidR="00D40240">
              <w:rPr>
                <w:rFonts w:ascii="Arial" w:hAnsi="Arial" w:cs="Arial"/>
              </w:rPr>
              <w:t xml:space="preserve">„návrhu </w:t>
            </w:r>
            <w:r w:rsidRPr="00D40240">
              <w:rPr>
                <w:rFonts w:ascii="Arial" w:hAnsi="Arial" w:cs="Arial"/>
              </w:rPr>
              <w:t>rozpočtu</w:t>
            </w:r>
            <w:r w:rsidR="00D40240">
              <w:rPr>
                <w:rFonts w:ascii="Arial" w:hAnsi="Arial" w:cs="Arial"/>
              </w:rPr>
              <w:t>“</w:t>
            </w:r>
            <w:r w:rsidRPr="00D40240">
              <w:rPr>
                <w:rFonts w:ascii="Arial" w:hAnsi="Arial" w:cs="Arial"/>
              </w:rPr>
              <w:t xml:space="preserve"> (např. aktuálně je do vlády předkládáno několik materiálů v souvislosti s výzkumnými infrastrukturami</w:t>
            </w:r>
            <w:r w:rsidR="003B3116" w:rsidRPr="00D40240">
              <w:rPr>
                <w:rFonts w:ascii="Arial" w:hAnsi="Arial" w:cs="Arial"/>
              </w:rPr>
              <w:t>)</w:t>
            </w:r>
            <w:r w:rsidRPr="00D40240">
              <w:rPr>
                <w:rFonts w:ascii="Arial" w:hAnsi="Arial" w:cs="Arial"/>
              </w:rPr>
              <w:t>.</w:t>
            </w:r>
          </w:p>
          <w:p w:rsidR="00D40240" w:rsidRDefault="00283373" w:rsidP="00EA7517">
            <w:pPr>
              <w:pStyle w:val="Odstavecseseznamem"/>
              <w:numPr>
                <w:ilvl w:val="2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D40240">
              <w:rPr>
                <w:rFonts w:ascii="Arial" w:hAnsi="Arial" w:cs="Arial"/>
              </w:rPr>
              <w:t>MŠMT požaduje úpravu</w:t>
            </w:r>
            <w:r w:rsidR="000513BF" w:rsidRPr="00D40240">
              <w:rPr>
                <w:rFonts w:ascii="Arial" w:hAnsi="Arial" w:cs="Arial"/>
              </w:rPr>
              <w:t xml:space="preserve"> uvnitř jednotlivých položek návrhu rozpočtu kapitoly MŠMT (</w:t>
            </w:r>
            <w:r w:rsidR="00D40240" w:rsidRPr="00D40240">
              <w:rPr>
                <w:rFonts w:ascii="Arial" w:hAnsi="Arial" w:cs="Arial"/>
              </w:rPr>
              <w:t>dle</w:t>
            </w:r>
            <w:r w:rsidR="00842259">
              <w:rPr>
                <w:rFonts w:ascii="Arial" w:hAnsi="Arial" w:cs="Arial"/>
              </w:rPr>
              <w:t xml:space="preserve"> usnesení 303 Rady</w:t>
            </w:r>
            <w:r w:rsidR="000513BF" w:rsidRPr="00D40240">
              <w:rPr>
                <w:rFonts w:ascii="Arial" w:hAnsi="Arial" w:cs="Arial"/>
              </w:rPr>
              <w:t xml:space="preserve"> k bodu A1 je toto možno řešit přesuny uvnitř rozpočtu mezi položkami na základě návrhu MŠMT za předpokladu zachování celkového směrného čísla).  </w:t>
            </w:r>
          </w:p>
          <w:p w:rsidR="00283373" w:rsidRPr="00D40240" w:rsidRDefault="00283373" w:rsidP="00EA7517">
            <w:pPr>
              <w:pStyle w:val="Odstavecseseznamem"/>
              <w:numPr>
                <w:ilvl w:val="2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D40240">
              <w:rPr>
                <w:rFonts w:ascii="Arial" w:hAnsi="Arial" w:cs="Arial"/>
              </w:rPr>
              <w:t>MŠMT současně (s ohledem na dodatečně předložené materiály, které nebyly při přípravě rozpočtu k</w:t>
            </w:r>
            <w:r w:rsidR="00B53529">
              <w:rPr>
                <w:rFonts w:ascii="Arial" w:hAnsi="Arial" w:cs="Arial"/>
              </w:rPr>
              <w:t> </w:t>
            </w:r>
            <w:r w:rsidRPr="00D40240">
              <w:rPr>
                <w:rFonts w:ascii="Arial" w:hAnsi="Arial" w:cs="Arial"/>
              </w:rPr>
              <w:t>dispozici</w:t>
            </w:r>
            <w:r w:rsidR="00B53529">
              <w:rPr>
                <w:rFonts w:ascii="Arial" w:hAnsi="Arial" w:cs="Arial"/>
              </w:rPr>
              <w:t>)</w:t>
            </w:r>
            <w:r w:rsidRPr="00D40240">
              <w:rPr>
                <w:rFonts w:ascii="Arial" w:hAnsi="Arial" w:cs="Arial"/>
              </w:rPr>
              <w:t xml:space="preserve"> vyzývá R</w:t>
            </w:r>
            <w:r w:rsidR="00842259">
              <w:rPr>
                <w:rFonts w:ascii="Arial" w:hAnsi="Arial" w:cs="Arial"/>
              </w:rPr>
              <w:t>adu</w:t>
            </w:r>
            <w:r w:rsidRPr="00D40240">
              <w:rPr>
                <w:rFonts w:ascii="Arial" w:hAnsi="Arial" w:cs="Arial"/>
              </w:rPr>
              <w:t xml:space="preserve"> ke stanovisku k těmto materiálům (např. „Cestovní mapa </w:t>
            </w:r>
            <w:proofErr w:type="gramStart"/>
            <w:r w:rsidRPr="00D40240">
              <w:rPr>
                <w:rFonts w:ascii="Arial" w:hAnsi="Arial" w:cs="Arial"/>
              </w:rPr>
              <w:t>ČR</w:t>
            </w:r>
            <w:r w:rsidR="00466A76">
              <w:rPr>
                <w:rFonts w:ascii="Arial" w:hAnsi="Arial" w:cs="Arial"/>
              </w:rPr>
              <w:t>.</w:t>
            </w:r>
            <w:r w:rsidRPr="00D40240">
              <w:rPr>
                <w:rFonts w:ascii="Arial" w:hAnsi="Arial" w:cs="Arial"/>
              </w:rPr>
              <w:t>..“).</w:t>
            </w:r>
            <w:proofErr w:type="gramEnd"/>
            <w:r w:rsidR="004C5CC6">
              <w:rPr>
                <w:rFonts w:ascii="Arial" w:hAnsi="Arial" w:cs="Arial"/>
              </w:rPr>
              <w:t xml:space="preserve"> Současně MŠ</w:t>
            </w:r>
            <w:r w:rsidRPr="00D40240">
              <w:rPr>
                <w:rFonts w:ascii="Arial" w:hAnsi="Arial" w:cs="Arial"/>
              </w:rPr>
              <w:t>MT upozorňuje na některé materiály, které byly předloženy až po zpracování „návrhu rozpočtu“ R</w:t>
            </w:r>
            <w:r w:rsidR="00842259">
              <w:rPr>
                <w:rFonts w:ascii="Arial" w:hAnsi="Arial" w:cs="Arial"/>
              </w:rPr>
              <w:t>ady</w:t>
            </w:r>
            <w:r w:rsidRPr="00D40240">
              <w:rPr>
                <w:rFonts w:ascii="Arial" w:hAnsi="Arial" w:cs="Arial"/>
              </w:rPr>
              <w:t xml:space="preserve"> (např. šetření zmocněnkyně pro udržitelnost </w:t>
            </w:r>
            <w:proofErr w:type="spellStart"/>
            <w:r w:rsidRPr="00D40240">
              <w:rPr>
                <w:rFonts w:ascii="Arial" w:hAnsi="Arial" w:cs="Arial"/>
              </w:rPr>
              <w:t>VaV</w:t>
            </w:r>
            <w:r w:rsidR="00B53529">
              <w:rPr>
                <w:rFonts w:ascii="Arial" w:hAnsi="Arial" w:cs="Arial"/>
              </w:rPr>
              <w:t>pI</w:t>
            </w:r>
            <w:proofErr w:type="spellEnd"/>
            <w:r w:rsidR="00B53529">
              <w:rPr>
                <w:rFonts w:ascii="Arial" w:hAnsi="Arial" w:cs="Arial"/>
              </w:rPr>
              <w:t xml:space="preserve"> </w:t>
            </w:r>
            <w:r w:rsidRPr="00D40240">
              <w:rPr>
                <w:rFonts w:ascii="Arial" w:hAnsi="Arial" w:cs="Arial"/>
              </w:rPr>
              <w:t xml:space="preserve"> center na MŠMT).</w:t>
            </w:r>
          </w:p>
          <w:p w:rsidR="005B44FC" w:rsidRPr="00322BBA" w:rsidRDefault="003B3116" w:rsidP="00EA7517">
            <w:pPr>
              <w:pStyle w:val="Odstavecseseznamem"/>
              <w:numPr>
                <w:ilvl w:val="2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</w:rPr>
              <w:t xml:space="preserve">MŠMT </w:t>
            </w:r>
            <w:r w:rsidR="00EA7517" w:rsidRPr="00322BBA">
              <w:rPr>
                <w:rFonts w:ascii="Arial" w:hAnsi="Arial" w:cs="Arial"/>
              </w:rPr>
              <w:t xml:space="preserve">nesouhlasí </w:t>
            </w:r>
            <w:r w:rsidR="00B8089C" w:rsidRPr="00322BBA">
              <w:rPr>
                <w:rFonts w:ascii="Arial" w:hAnsi="Arial" w:cs="Arial"/>
              </w:rPr>
              <w:t xml:space="preserve">s </w:t>
            </w:r>
            <w:r w:rsidR="00EA7517" w:rsidRPr="00322BBA">
              <w:rPr>
                <w:rFonts w:ascii="Arial" w:hAnsi="Arial" w:cs="Arial"/>
              </w:rPr>
              <w:t xml:space="preserve">úkolem uvedeným v návrhu usnesení vlády v bodě IV. </w:t>
            </w:r>
            <w:r w:rsidR="00D40240">
              <w:rPr>
                <w:rFonts w:ascii="Arial" w:hAnsi="Arial" w:cs="Arial"/>
              </w:rPr>
              <w:t xml:space="preserve">a </w:t>
            </w:r>
            <w:r w:rsidRPr="00322BBA">
              <w:rPr>
                <w:rFonts w:ascii="Arial" w:hAnsi="Arial" w:cs="Arial"/>
              </w:rPr>
              <w:t>současně upoz</w:t>
            </w:r>
            <w:r w:rsidR="00EA7517" w:rsidRPr="00322BBA">
              <w:rPr>
                <w:rFonts w:ascii="Arial" w:hAnsi="Arial" w:cs="Arial"/>
              </w:rPr>
              <w:t>o</w:t>
            </w:r>
            <w:r w:rsidRPr="00322BBA">
              <w:rPr>
                <w:rFonts w:ascii="Arial" w:hAnsi="Arial" w:cs="Arial"/>
              </w:rPr>
              <w:t>rňuje</w:t>
            </w:r>
            <w:r w:rsidR="00EA7517" w:rsidRPr="00322BBA">
              <w:rPr>
                <w:rFonts w:ascii="Arial" w:hAnsi="Arial" w:cs="Arial"/>
              </w:rPr>
              <w:t xml:space="preserve"> na problémy (udržitelnost, výzkumné infrastruktury a mezinárodní spolupráce)</w:t>
            </w:r>
          </w:p>
          <w:p w:rsidR="005B44FC" w:rsidRDefault="005B44FC" w:rsidP="003B3116">
            <w:pPr>
              <w:pStyle w:val="Odstavecseseznamem"/>
              <w:numPr>
                <w:ilvl w:val="1"/>
                <w:numId w:val="5"/>
              </w:numPr>
              <w:spacing w:before="120" w:after="120" w:line="240" w:lineRule="auto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  <w:b/>
              </w:rPr>
              <w:t xml:space="preserve">TAČR </w:t>
            </w:r>
            <w:r w:rsidR="00800449">
              <w:rPr>
                <w:rFonts w:ascii="Arial" w:hAnsi="Arial" w:cs="Arial"/>
              </w:rPr>
              <w:t>- n</w:t>
            </w:r>
            <w:r w:rsidRPr="00322BBA">
              <w:rPr>
                <w:rFonts w:ascii="Arial" w:hAnsi="Arial" w:cs="Arial"/>
              </w:rPr>
              <w:t>esouhlasí s</w:t>
            </w:r>
            <w:r w:rsidR="00EA7517" w:rsidRPr="00322BBA">
              <w:rPr>
                <w:rFonts w:ascii="Arial" w:hAnsi="Arial" w:cs="Arial"/>
              </w:rPr>
              <w:t xml:space="preserve"> návrhem </w:t>
            </w:r>
            <w:r w:rsidRPr="00322BBA">
              <w:rPr>
                <w:rFonts w:ascii="Arial" w:hAnsi="Arial" w:cs="Arial"/>
              </w:rPr>
              <w:t>vypořádání připomínek a trvá na</w:t>
            </w:r>
            <w:r w:rsidR="00800449">
              <w:rPr>
                <w:rFonts w:ascii="Arial" w:hAnsi="Arial" w:cs="Arial"/>
              </w:rPr>
              <w:t> </w:t>
            </w:r>
            <w:r w:rsidRPr="00322BBA">
              <w:rPr>
                <w:rFonts w:ascii="Arial" w:hAnsi="Arial" w:cs="Arial"/>
              </w:rPr>
              <w:t xml:space="preserve">nadpožadavku na navýšení rozpočtu (o 746 mil. Kč v roce 2016, 1 196 mil. rok 2017 a 516 mil. Kč rok 2018). TAČR současně upozorňuje na údajná porušení zákona </w:t>
            </w:r>
            <w:r w:rsidR="00E5153D">
              <w:rPr>
                <w:rFonts w:ascii="Arial" w:hAnsi="Arial" w:cs="Arial"/>
              </w:rPr>
              <w:t xml:space="preserve">postupu při přípravě návrhu rozpočtu </w:t>
            </w:r>
            <w:r w:rsidRPr="00322BBA">
              <w:rPr>
                <w:rFonts w:ascii="Arial" w:hAnsi="Arial" w:cs="Arial"/>
              </w:rPr>
              <w:t>ze strany R</w:t>
            </w:r>
            <w:r w:rsidR="00842259">
              <w:rPr>
                <w:rFonts w:ascii="Arial" w:hAnsi="Arial" w:cs="Arial"/>
              </w:rPr>
              <w:t>ady</w:t>
            </w:r>
            <w:r w:rsidRPr="00322BBA">
              <w:rPr>
                <w:rFonts w:ascii="Arial" w:hAnsi="Arial" w:cs="Arial"/>
              </w:rPr>
              <w:t xml:space="preserve"> (viz</w:t>
            </w:r>
            <w:r w:rsidR="00800449">
              <w:rPr>
                <w:rFonts w:ascii="Arial" w:hAnsi="Arial" w:cs="Arial"/>
              </w:rPr>
              <w:t> materiál</w:t>
            </w:r>
            <w:r w:rsidR="00B53529">
              <w:rPr>
                <w:rFonts w:ascii="Arial" w:hAnsi="Arial" w:cs="Arial"/>
              </w:rPr>
              <w:t xml:space="preserve"> </w:t>
            </w:r>
            <w:r w:rsidR="00E5153D">
              <w:rPr>
                <w:rFonts w:ascii="Arial" w:hAnsi="Arial" w:cs="Arial"/>
              </w:rPr>
              <w:t>„</w:t>
            </w:r>
            <w:r w:rsidRPr="00322BBA">
              <w:rPr>
                <w:rFonts w:ascii="Arial" w:hAnsi="Arial" w:cs="Arial"/>
              </w:rPr>
              <w:t>Vypořádání připomínek</w:t>
            </w:r>
            <w:r w:rsidR="00E5153D">
              <w:rPr>
                <w:rFonts w:ascii="Arial" w:hAnsi="Arial" w:cs="Arial"/>
              </w:rPr>
              <w:t>“</w:t>
            </w:r>
            <w:r w:rsidRPr="00322BBA">
              <w:rPr>
                <w:rFonts w:ascii="Arial" w:hAnsi="Arial" w:cs="Arial"/>
              </w:rPr>
              <w:t>)</w:t>
            </w:r>
            <w:r w:rsidR="00E5153D">
              <w:rPr>
                <w:rFonts w:ascii="Arial" w:hAnsi="Arial" w:cs="Arial"/>
              </w:rPr>
              <w:t>.</w:t>
            </w:r>
          </w:p>
          <w:p w:rsidR="00E85DBB" w:rsidRPr="00E85DBB" w:rsidRDefault="00E85DBB" w:rsidP="00E85DBB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85DBB">
              <w:rPr>
                <w:rFonts w:ascii="Arial" w:hAnsi="Arial" w:cs="Arial"/>
                <w:sz w:val="22"/>
                <w:szCs w:val="22"/>
              </w:rPr>
              <w:t xml:space="preserve">Výše uvedené </w:t>
            </w:r>
            <w:r>
              <w:rPr>
                <w:rFonts w:ascii="Arial" w:hAnsi="Arial" w:cs="Arial"/>
                <w:sz w:val="22"/>
                <w:szCs w:val="22"/>
              </w:rPr>
              <w:t xml:space="preserve">rozpory </w:t>
            </w:r>
            <w:r w:rsidRPr="00E85DBB">
              <w:rPr>
                <w:rFonts w:ascii="Arial" w:hAnsi="Arial" w:cs="Arial"/>
                <w:sz w:val="22"/>
                <w:szCs w:val="22"/>
              </w:rPr>
              <w:t xml:space="preserve">k navýšení rozpočtu je možno částečně řešit navýšením nadpožadavků </w:t>
            </w:r>
            <w:r w:rsidR="00842259">
              <w:rPr>
                <w:rFonts w:ascii="Arial" w:hAnsi="Arial" w:cs="Arial"/>
                <w:sz w:val="22"/>
                <w:szCs w:val="22"/>
              </w:rPr>
              <w:t>Rady</w:t>
            </w:r>
            <w:r w:rsidRPr="00E85DBB">
              <w:rPr>
                <w:rFonts w:ascii="Arial" w:hAnsi="Arial" w:cs="Arial"/>
                <w:sz w:val="22"/>
                <w:szCs w:val="22"/>
              </w:rPr>
              <w:t xml:space="preserve"> na rok 2016 o 500 mil. Kč (viz bod 1. návrhu usnesení a částečně z rozpočtových zdrojů roku 2015 (prostředky 600 mil. Kč v souvislosti s udržitelností </w:t>
            </w:r>
            <w:proofErr w:type="spellStart"/>
            <w:r w:rsidRPr="00E85DBB">
              <w:rPr>
                <w:rFonts w:ascii="Arial" w:hAnsi="Arial" w:cs="Arial"/>
                <w:sz w:val="22"/>
                <w:szCs w:val="22"/>
              </w:rPr>
              <w:t>VaVpI</w:t>
            </w:r>
            <w:proofErr w:type="spellEnd"/>
            <w:r w:rsidRPr="00E85DBB">
              <w:rPr>
                <w:rFonts w:ascii="Arial" w:hAnsi="Arial" w:cs="Arial"/>
                <w:sz w:val="22"/>
                <w:szCs w:val="22"/>
              </w:rPr>
              <w:t xml:space="preserve"> center)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B091A" w:rsidRPr="00DE2BC0" w:rsidRDefault="000C521F" w:rsidP="00842259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 xml:space="preserve">V příloze je uvedena </w:t>
            </w:r>
            <w:r w:rsidR="00D40240">
              <w:rPr>
                <w:rFonts w:ascii="Arial" w:hAnsi="Arial" w:cs="Arial"/>
                <w:sz w:val="22"/>
                <w:szCs w:val="22"/>
              </w:rPr>
              <w:t xml:space="preserve">srovnávací 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tabulka uvádějící výdaje uvedené ve vládou schváleném „Střednědobém výhledu“, nadpožadavky </w:t>
            </w:r>
            <w:r w:rsidR="00842259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Pr="00322BBA">
              <w:rPr>
                <w:rFonts w:ascii="Arial" w:hAnsi="Arial" w:cs="Arial"/>
                <w:sz w:val="22"/>
                <w:szCs w:val="22"/>
              </w:rPr>
              <w:t>a celkový návrh R</w:t>
            </w:r>
            <w:r w:rsidR="00842259">
              <w:rPr>
                <w:rFonts w:ascii="Arial" w:hAnsi="Arial" w:cs="Arial"/>
                <w:sz w:val="22"/>
                <w:szCs w:val="22"/>
              </w:rPr>
              <w:t>ady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. Současně je pro informaci uveden i rozsah původních nadpožadavků poskytovatelů po jednání v únoru 2015. Pro porovnání je uveden rozsah nadpožadavků po předložení materiálu do mezirezortního </w:t>
            </w:r>
            <w:r w:rsidRPr="00322BBA">
              <w:rPr>
                <w:rFonts w:ascii="Arial" w:hAnsi="Arial" w:cs="Arial"/>
                <w:sz w:val="22"/>
                <w:szCs w:val="22"/>
              </w:rPr>
              <w:lastRenderedPageBreak/>
              <w:t>připomínkového řízení</w:t>
            </w:r>
            <w:r w:rsidRPr="00322BBA">
              <w:rPr>
                <w:rFonts w:ascii="Arial" w:hAnsi="Arial" w:cs="Arial"/>
                <w:i/>
                <w:sz w:val="22"/>
                <w:szCs w:val="22"/>
              </w:rPr>
              <w:t xml:space="preserve">. </w:t>
            </w:r>
            <w:r w:rsidRPr="00322BBA">
              <w:rPr>
                <w:rFonts w:ascii="Arial" w:hAnsi="Arial" w:cs="Arial"/>
                <w:sz w:val="22"/>
                <w:szCs w:val="22"/>
              </w:rPr>
              <w:t>Poslední sloupec informuje o „Požadavku na navýšení návrhu R</w:t>
            </w:r>
            <w:r w:rsidR="00842259">
              <w:rPr>
                <w:rFonts w:ascii="Arial" w:hAnsi="Arial" w:cs="Arial"/>
                <w:sz w:val="22"/>
                <w:szCs w:val="22"/>
              </w:rPr>
              <w:t>ady</w:t>
            </w:r>
            <w:r w:rsidRPr="00322BBA">
              <w:rPr>
                <w:rFonts w:ascii="Arial" w:hAnsi="Arial" w:cs="Arial"/>
                <w:sz w:val="22"/>
                <w:szCs w:val="22"/>
              </w:rPr>
              <w:t xml:space="preserve"> uplatněný poskytovateli v připomínkách k návrhu rozpočtu (duben 2015)“</w:t>
            </w:r>
            <w:r w:rsidR="00322BBA" w:rsidRPr="00322BBA">
              <w:rPr>
                <w:rFonts w:ascii="Arial" w:hAnsi="Arial" w:cs="Arial"/>
                <w:sz w:val="22"/>
                <w:szCs w:val="22"/>
              </w:rPr>
              <w:t>.</w:t>
            </w:r>
            <w:r w:rsidR="00E85DBB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F77F6" w:rsidRPr="00DE2BC0" w:rsidTr="003740D2">
        <w:trPr>
          <w:trHeight w:val="53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Návrh usnesení</w:t>
            </w:r>
          </w:p>
          <w:p w:rsidR="009870E8" w:rsidRPr="00322BBA" w:rsidRDefault="009870E8" w:rsidP="00322BB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22BB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3B3116" w:rsidRPr="00322BBA" w:rsidRDefault="00800449" w:rsidP="00D4024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bookmarkStart w:id="1" w:name="OLE_LINK1"/>
            <w:r>
              <w:rPr>
                <w:rFonts w:ascii="Arial" w:hAnsi="Arial" w:cs="Arial"/>
                <w:color w:val="000000"/>
              </w:rPr>
              <w:t>u</w:t>
            </w:r>
            <w:r w:rsidR="003B3116" w:rsidRPr="00322BBA">
              <w:rPr>
                <w:rFonts w:ascii="Arial" w:hAnsi="Arial" w:cs="Arial"/>
                <w:color w:val="000000"/>
              </w:rPr>
              <w:t xml:space="preserve">kládá </w:t>
            </w:r>
            <w:r w:rsidR="004C5CC6">
              <w:rPr>
                <w:rFonts w:ascii="Arial" w:hAnsi="Arial" w:cs="Arial"/>
                <w:color w:val="000000"/>
              </w:rPr>
              <w:t xml:space="preserve">Sekci </w:t>
            </w:r>
            <w:proofErr w:type="spellStart"/>
            <w:r w:rsidR="004C5CC6">
              <w:rPr>
                <w:rFonts w:ascii="Arial" w:hAnsi="Arial" w:cs="Arial"/>
                <w:color w:val="000000"/>
              </w:rPr>
              <w:t>VaVaI</w:t>
            </w:r>
            <w:proofErr w:type="spellEnd"/>
            <w:r w:rsidR="004C5CC6">
              <w:rPr>
                <w:rFonts w:ascii="Arial" w:hAnsi="Arial" w:cs="Arial"/>
                <w:color w:val="000000"/>
              </w:rPr>
              <w:t xml:space="preserve"> </w:t>
            </w:r>
            <w:r w:rsidR="003B3116" w:rsidRPr="00322BBA">
              <w:rPr>
                <w:rFonts w:ascii="Arial" w:hAnsi="Arial" w:cs="Arial"/>
                <w:color w:val="000000"/>
              </w:rPr>
              <w:t xml:space="preserve">do návrhu </w:t>
            </w:r>
            <w:r w:rsidR="00755807">
              <w:rPr>
                <w:rFonts w:ascii="Arial" w:hAnsi="Arial" w:cs="Arial"/>
                <w:color w:val="000000"/>
              </w:rPr>
              <w:t xml:space="preserve">výdajů státního </w:t>
            </w:r>
            <w:r w:rsidR="003B3116" w:rsidRPr="00322BBA">
              <w:rPr>
                <w:rFonts w:ascii="Arial" w:hAnsi="Arial" w:cs="Arial"/>
                <w:color w:val="000000"/>
              </w:rPr>
              <w:t xml:space="preserve">rozpočtu </w:t>
            </w:r>
            <w:r w:rsidR="00755807">
              <w:rPr>
                <w:rFonts w:ascii="Arial" w:hAnsi="Arial" w:cs="Arial"/>
                <w:color w:val="000000"/>
              </w:rPr>
              <w:t xml:space="preserve">na </w:t>
            </w:r>
            <w:proofErr w:type="spellStart"/>
            <w:r w:rsidR="003B3116" w:rsidRPr="00322BBA">
              <w:rPr>
                <w:rFonts w:ascii="Arial" w:hAnsi="Arial" w:cs="Arial"/>
                <w:color w:val="000000"/>
              </w:rPr>
              <w:t>VaVaI</w:t>
            </w:r>
            <w:proofErr w:type="spellEnd"/>
            <w:r w:rsidR="003B3116" w:rsidRPr="00322BBA">
              <w:rPr>
                <w:rFonts w:ascii="Arial" w:hAnsi="Arial" w:cs="Arial"/>
                <w:color w:val="000000"/>
              </w:rPr>
              <w:t xml:space="preserve"> na rok 2016 ve výši 28</w:t>
            </w:r>
            <w:r w:rsidR="00755807">
              <w:rPr>
                <w:rFonts w:ascii="Arial" w:hAnsi="Arial" w:cs="Arial"/>
                <w:color w:val="000000"/>
              </w:rPr>
              <w:t> </w:t>
            </w:r>
            <w:r w:rsidR="003B3116" w:rsidRPr="00322BBA">
              <w:rPr>
                <w:rFonts w:ascii="Arial" w:hAnsi="Arial" w:cs="Arial"/>
                <w:color w:val="000000"/>
              </w:rPr>
              <w:t>666 mil. Kč zapracovat n</w:t>
            </w:r>
            <w:r>
              <w:rPr>
                <w:rFonts w:ascii="Arial" w:hAnsi="Arial" w:cs="Arial"/>
                <w:color w:val="000000"/>
              </w:rPr>
              <w:t xml:space="preserve">avýšení rozpočtu o 500 mil. Kč </w:t>
            </w:r>
            <w:r w:rsidR="003B3116" w:rsidRPr="00322BBA">
              <w:rPr>
                <w:rFonts w:ascii="Arial" w:hAnsi="Arial" w:cs="Arial"/>
                <w:color w:val="000000"/>
              </w:rPr>
              <w:t>takto:</w:t>
            </w:r>
          </w:p>
          <w:p w:rsidR="003B3116" w:rsidRPr="00322BBA" w:rsidRDefault="003B3116" w:rsidP="004C5CC6">
            <w:pPr>
              <w:pStyle w:val="Odstavecseseznamem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22BBA">
              <w:rPr>
                <w:rFonts w:ascii="Arial" w:hAnsi="Arial" w:cs="Arial"/>
                <w:color w:val="000000"/>
              </w:rPr>
              <w:t xml:space="preserve">300 mil. Kč pro MŠMT </w:t>
            </w:r>
          </w:p>
          <w:p w:rsidR="003B3116" w:rsidRPr="00322BBA" w:rsidRDefault="003B3116" w:rsidP="004C5CC6">
            <w:pPr>
              <w:pStyle w:val="Odstavecseseznamem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 w:rsidRPr="00322BBA">
              <w:rPr>
                <w:rFonts w:ascii="Arial" w:hAnsi="Arial" w:cs="Arial"/>
                <w:color w:val="000000"/>
              </w:rPr>
              <w:t xml:space="preserve">100 mil. Kč pro GAČR </w:t>
            </w:r>
          </w:p>
          <w:p w:rsidR="003B3116" w:rsidRPr="000E18CE" w:rsidRDefault="00800449" w:rsidP="004C5CC6">
            <w:pPr>
              <w:pStyle w:val="Odstavecseseznamem"/>
              <w:numPr>
                <w:ilvl w:val="1"/>
                <w:numId w:val="10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i/>
                <w:color w:val="000000"/>
              </w:rPr>
            </w:pPr>
            <w:r>
              <w:rPr>
                <w:rFonts w:ascii="Arial" w:hAnsi="Arial" w:cs="Arial"/>
              </w:rPr>
              <w:t xml:space="preserve">100 mil Kč pro TAČR </w:t>
            </w:r>
            <w:r w:rsidR="003B3116" w:rsidRPr="000E18CE">
              <w:rPr>
                <w:rFonts w:ascii="Arial" w:hAnsi="Arial" w:cs="Arial"/>
                <w:i/>
                <w:color w:val="000000"/>
              </w:rPr>
              <w:t xml:space="preserve">Návrh rozpočtu </w:t>
            </w:r>
            <w:proofErr w:type="spellStart"/>
            <w:r w:rsidR="003B3116" w:rsidRPr="000E18CE">
              <w:rPr>
                <w:rFonts w:ascii="Arial" w:hAnsi="Arial" w:cs="Arial"/>
                <w:i/>
                <w:color w:val="000000"/>
              </w:rPr>
              <w:t>VaVaI</w:t>
            </w:r>
            <w:proofErr w:type="spellEnd"/>
            <w:r w:rsidR="003B3116" w:rsidRPr="000E18CE">
              <w:rPr>
                <w:rFonts w:ascii="Arial" w:hAnsi="Arial" w:cs="Arial"/>
                <w:i/>
                <w:color w:val="000000"/>
              </w:rPr>
              <w:t xml:space="preserve"> pro rok 2016 předložený </w:t>
            </w:r>
            <w:r w:rsidR="00B53529" w:rsidRPr="000E18CE">
              <w:rPr>
                <w:rFonts w:ascii="Arial" w:hAnsi="Arial" w:cs="Arial"/>
                <w:i/>
                <w:color w:val="000000"/>
              </w:rPr>
              <w:t xml:space="preserve">na </w:t>
            </w:r>
            <w:r>
              <w:rPr>
                <w:rFonts w:ascii="Arial" w:hAnsi="Arial" w:cs="Arial"/>
                <w:i/>
                <w:color w:val="000000"/>
              </w:rPr>
              <w:t xml:space="preserve">jednání vlády </w:t>
            </w:r>
            <w:r w:rsidR="003B3116" w:rsidRPr="000E18CE">
              <w:rPr>
                <w:rFonts w:ascii="Arial" w:hAnsi="Arial" w:cs="Arial"/>
                <w:i/>
                <w:color w:val="000000"/>
              </w:rPr>
              <w:t xml:space="preserve">bude </w:t>
            </w:r>
            <w:r w:rsidR="00322BBA" w:rsidRPr="000E18CE">
              <w:rPr>
                <w:rFonts w:ascii="Arial" w:hAnsi="Arial" w:cs="Arial"/>
                <w:i/>
                <w:color w:val="000000"/>
              </w:rPr>
              <w:t>p</w:t>
            </w:r>
            <w:r w:rsidR="003B3116" w:rsidRPr="000E18CE">
              <w:rPr>
                <w:rFonts w:ascii="Arial" w:hAnsi="Arial" w:cs="Arial"/>
                <w:i/>
                <w:color w:val="000000"/>
              </w:rPr>
              <w:t xml:space="preserve">o tomto navýšení </w:t>
            </w:r>
            <w:r w:rsidR="003B3116" w:rsidRPr="000E18CE">
              <w:rPr>
                <w:rFonts w:ascii="Arial" w:hAnsi="Arial" w:cs="Arial"/>
                <w:i/>
                <w:color w:val="000000"/>
                <w:u w:val="single"/>
              </w:rPr>
              <w:t xml:space="preserve">činit 29 166 mil. Kč, a bude o 2 602 mil. Kč. </w:t>
            </w:r>
            <w:proofErr w:type="gramStart"/>
            <w:r w:rsidR="003B3116" w:rsidRPr="000E18CE">
              <w:rPr>
                <w:rFonts w:ascii="Arial" w:hAnsi="Arial" w:cs="Arial"/>
                <w:i/>
                <w:color w:val="000000"/>
                <w:u w:val="single"/>
              </w:rPr>
              <w:t>vyšší</w:t>
            </w:r>
            <w:proofErr w:type="gramEnd"/>
            <w:r w:rsidR="003B3116" w:rsidRPr="000E18CE">
              <w:rPr>
                <w:rFonts w:ascii="Arial" w:hAnsi="Arial" w:cs="Arial"/>
                <w:i/>
                <w:color w:val="000000"/>
                <w:u w:val="single"/>
              </w:rPr>
              <w:t xml:space="preserve"> než středně</w:t>
            </w:r>
            <w:r w:rsidR="00D40240" w:rsidRPr="000E18CE">
              <w:rPr>
                <w:rFonts w:ascii="Arial" w:hAnsi="Arial" w:cs="Arial"/>
                <w:i/>
                <w:color w:val="000000"/>
                <w:u w:val="single"/>
              </w:rPr>
              <w:t>dobý výhled na rok 2016</w:t>
            </w:r>
            <w:r w:rsidR="00322BBA" w:rsidRPr="000E18CE">
              <w:rPr>
                <w:rFonts w:ascii="Arial" w:hAnsi="Arial" w:cs="Arial"/>
                <w:i/>
                <w:color w:val="000000"/>
                <w:u w:val="single"/>
              </w:rPr>
              <w:t xml:space="preserve"> </w:t>
            </w:r>
            <w:r w:rsidR="003B3116" w:rsidRPr="000E18CE">
              <w:rPr>
                <w:rFonts w:ascii="Arial" w:hAnsi="Arial" w:cs="Arial"/>
                <w:i/>
                <w:color w:val="000000"/>
              </w:rPr>
              <w:t>(resp. o 2 261 mil. Kč vyšší než schválený rozpočet na rok 2015)</w:t>
            </w:r>
            <w:r w:rsidR="00755807">
              <w:rPr>
                <w:rFonts w:ascii="Arial" w:hAnsi="Arial" w:cs="Arial"/>
                <w:i/>
                <w:color w:val="000000"/>
              </w:rPr>
              <w:t>,</w:t>
            </w:r>
          </w:p>
          <w:p w:rsidR="00322BBA" w:rsidRPr="00322BBA" w:rsidRDefault="00800449" w:rsidP="00D40240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="000056E5" w:rsidRPr="00322BBA">
              <w:rPr>
                <w:rFonts w:ascii="Arial" w:hAnsi="Arial" w:cs="Arial"/>
                <w:color w:val="000000"/>
              </w:rPr>
              <w:t>chvaluje</w:t>
            </w:r>
            <w:r w:rsidR="008B091A" w:rsidRPr="00322BBA">
              <w:rPr>
                <w:rFonts w:ascii="Arial" w:hAnsi="Arial" w:cs="Arial"/>
                <w:color w:val="000000"/>
              </w:rPr>
              <w:t xml:space="preserve"> </w:t>
            </w:r>
            <w:r w:rsidR="000056E5" w:rsidRPr="00322BBA">
              <w:rPr>
                <w:rFonts w:ascii="Arial" w:hAnsi="Arial" w:cs="Arial"/>
                <w:color w:val="000000"/>
              </w:rPr>
              <w:t>„Návrh výdajů státního rozpočtu ČR na výzkum, experimentální vývoj a inovace na rok 2016 s výhledem na léta 2017 a 2018“,</w:t>
            </w:r>
            <w:r w:rsidR="008B091A" w:rsidRPr="00322BBA">
              <w:rPr>
                <w:rFonts w:ascii="Arial" w:hAnsi="Arial" w:cs="Arial"/>
                <w:color w:val="000000"/>
              </w:rPr>
              <w:t xml:space="preserve"> včetně vypořádání připomínek uvedených v části </w:t>
            </w:r>
            <w:r w:rsidR="003B3116" w:rsidRPr="00322BBA">
              <w:rPr>
                <w:rFonts w:ascii="Arial" w:hAnsi="Arial" w:cs="Arial"/>
                <w:color w:val="000000"/>
              </w:rPr>
              <w:t>IV materiálu a p</w:t>
            </w:r>
            <w:r w:rsidR="005B1A47">
              <w:rPr>
                <w:rFonts w:ascii="Arial" w:hAnsi="Arial" w:cs="Arial"/>
                <w:color w:val="000000"/>
              </w:rPr>
              <w:t>o doplnění dle předchozího bodu,</w:t>
            </w:r>
          </w:p>
          <w:p w:rsidR="009870E8" w:rsidRPr="00706CE5" w:rsidRDefault="000056E5" w:rsidP="005B1A47">
            <w:pPr>
              <w:pStyle w:val="Odstavecseseznamem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120" w:after="120"/>
              <w:contextualSpacing w:val="0"/>
              <w:jc w:val="both"/>
              <w:rPr>
                <w:rFonts w:ascii="Arial" w:hAnsi="Arial" w:cs="Arial"/>
              </w:rPr>
            </w:pPr>
            <w:r w:rsidRPr="00322BBA">
              <w:rPr>
                <w:rFonts w:ascii="Arial" w:hAnsi="Arial" w:cs="Arial"/>
              </w:rPr>
              <w:t xml:space="preserve">ukládá </w:t>
            </w:r>
            <w:r w:rsidR="00CC7C0D" w:rsidRPr="00322BBA">
              <w:rPr>
                <w:rFonts w:ascii="Arial" w:hAnsi="Arial" w:cs="Arial"/>
              </w:rPr>
              <w:t>S</w:t>
            </w:r>
            <w:r w:rsidR="00922D1D" w:rsidRPr="00322BBA">
              <w:rPr>
                <w:rFonts w:ascii="Arial" w:hAnsi="Arial" w:cs="Arial"/>
              </w:rPr>
              <w:t>ekci VaVaI</w:t>
            </w:r>
            <w:r w:rsidRPr="00322BBA">
              <w:rPr>
                <w:rFonts w:ascii="Arial" w:hAnsi="Arial" w:cs="Arial"/>
              </w:rPr>
              <w:t xml:space="preserve"> </w:t>
            </w:r>
            <w:r w:rsidR="003B3116" w:rsidRPr="00322BBA">
              <w:rPr>
                <w:rFonts w:ascii="Arial" w:hAnsi="Arial" w:cs="Arial"/>
              </w:rPr>
              <w:t>předložit tento materiál na jednání vlády</w:t>
            </w:r>
            <w:r w:rsidR="005B1A47">
              <w:rPr>
                <w:rFonts w:ascii="Arial" w:hAnsi="Arial" w:cs="Arial"/>
              </w:rPr>
              <w:t>.</w:t>
            </w:r>
            <w:bookmarkEnd w:id="1"/>
          </w:p>
        </w:tc>
      </w:tr>
      <w:tr w:rsidR="003B3116" w:rsidRPr="00DE2BC0" w:rsidTr="00800449">
        <w:trPr>
          <w:trHeight w:val="82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FE0D77" w:rsidRPr="00BB0768" w:rsidRDefault="00FE0D77" w:rsidP="004C5CC6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3B3116" w:rsidRPr="00BB0768" w:rsidRDefault="00FE0D77" w:rsidP="00FE0D77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Sekce VaVaI.</w:t>
            </w:r>
          </w:p>
        </w:tc>
      </w:tr>
    </w:tbl>
    <w:p w:rsidR="007F57DB" w:rsidRDefault="007F57DB" w:rsidP="008F77F6">
      <w:pPr>
        <w:sectPr w:rsidR="007F57D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E5A85" w:rsidRPr="000E5A85" w:rsidRDefault="000E5A85" w:rsidP="000E5A85">
      <w:pPr>
        <w:spacing w:before="120" w:after="120"/>
        <w:rPr>
          <w:rFonts w:ascii="Arial" w:hAnsi="Arial" w:cs="Arial"/>
          <w:b/>
          <w:bCs/>
          <w:i/>
          <w:sz w:val="22"/>
          <w:szCs w:val="22"/>
        </w:rPr>
      </w:pPr>
      <w:r w:rsidRPr="000E5A85">
        <w:rPr>
          <w:rFonts w:ascii="Arial" w:hAnsi="Arial" w:cs="Arial"/>
          <w:b/>
          <w:bCs/>
          <w:i/>
          <w:sz w:val="22"/>
          <w:szCs w:val="22"/>
        </w:rPr>
        <w:lastRenderedPageBreak/>
        <w:t>Příloha</w:t>
      </w:r>
    </w:p>
    <w:p w:rsidR="00F86D54" w:rsidRDefault="007F57DB" w:rsidP="000E5A85">
      <w:pPr>
        <w:spacing w:after="40"/>
      </w:pPr>
      <w:r w:rsidRPr="007F57DB">
        <w:rPr>
          <w:noProof/>
        </w:rPr>
        <w:drawing>
          <wp:inline distT="0" distB="0" distL="0" distR="0" wp14:anchorId="1960A17B" wp14:editId="2B1F9F16">
            <wp:extent cx="5760720" cy="2888227"/>
            <wp:effectExtent l="0" t="0" r="0" b="762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8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7DB" w:rsidRDefault="007F57DB" w:rsidP="000E5A85">
      <w:pPr>
        <w:spacing w:after="40"/>
      </w:pPr>
      <w:r w:rsidRPr="007F57DB">
        <w:rPr>
          <w:noProof/>
        </w:rPr>
        <w:drawing>
          <wp:inline distT="0" distB="0" distL="0" distR="0" wp14:anchorId="7726D9B1" wp14:editId="287A5F2D">
            <wp:extent cx="5760720" cy="2815312"/>
            <wp:effectExtent l="0" t="0" r="0" b="4445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153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7DB" w:rsidRDefault="007C0C9D" w:rsidP="008F77F6">
      <w:r w:rsidRPr="007C0C9D">
        <w:rPr>
          <w:noProof/>
        </w:rPr>
        <w:drawing>
          <wp:inline distT="0" distB="0" distL="0" distR="0" wp14:anchorId="79A20F32" wp14:editId="592DE6CD">
            <wp:extent cx="5760720" cy="2791344"/>
            <wp:effectExtent l="0" t="0" r="0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91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F57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1F70" w:rsidRDefault="00961F70" w:rsidP="008F77F6">
      <w:r>
        <w:separator/>
      </w:r>
    </w:p>
  </w:endnote>
  <w:endnote w:type="continuationSeparator" w:id="0">
    <w:p w:rsidR="00961F70" w:rsidRDefault="00961F70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4" w:rsidRDefault="00E10C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4" w:rsidRDefault="00E10C74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4" w:rsidRDefault="00E10C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1F70" w:rsidRDefault="00961F70" w:rsidP="008F77F6">
      <w:r>
        <w:separator/>
      </w:r>
    </w:p>
  </w:footnote>
  <w:footnote w:type="continuationSeparator" w:id="0">
    <w:p w:rsidR="00961F70" w:rsidRDefault="00961F70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4" w:rsidRDefault="00E10C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5F596C2" wp14:editId="49A56106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C74" w:rsidRDefault="00E10C7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12D4046"/>
    <w:multiLevelType w:val="hybridMultilevel"/>
    <w:tmpl w:val="AEBCE32E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776ED"/>
    <w:multiLevelType w:val="hybridMultilevel"/>
    <w:tmpl w:val="A9FEF364"/>
    <w:lvl w:ilvl="0" w:tplc="713477D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80" w:hanging="360"/>
      </w:pPr>
    </w:lvl>
    <w:lvl w:ilvl="2" w:tplc="0405001B" w:tentative="1">
      <w:start w:val="1"/>
      <w:numFmt w:val="lowerRoman"/>
      <w:lvlText w:val="%3."/>
      <w:lvlJc w:val="right"/>
      <w:pPr>
        <w:ind w:left="2100" w:hanging="180"/>
      </w:pPr>
    </w:lvl>
    <w:lvl w:ilvl="3" w:tplc="0405000F" w:tentative="1">
      <w:start w:val="1"/>
      <w:numFmt w:val="decimal"/>
      <w:lvlText w:val="%4."/>
      <w:lvlJc w:val="left"/>
      <w:pPr>
        <w:ind w:left="2820" w:hanging="360"/>
      </w:pPr>
    </w:lvl>
    <w:lvl w:ilvl="4" w:tplc="04050019" w:tentative="1">
      <w:start w:val="1"/>
      <w:numFmt w:val="lowerLetter"/>
      <w:lvlText w:val="%5."/>
      <w:lvlJc w:val="left"/>
      <w:pPr>
        <w:ind w:left="3540" w:hanging="360"/>
      </w:pPr>
    </w:lvl>
    <w:lvl w:ilvl="5" w:tplc="0405001B" w:tentative="1">
      <w:start w:val="1"/>
      <w:numFmt w:val="lowerRoman"/>
      <w:lvlText w:val="%6."/>
      <w:lvlJc w:val="right"/>
      <w:pPr>
        <w:ind w:left="4260" w:hanging="180"/>
      </w:pPr>
    </w:lvl>
    <w:lvl w:ilvl="6" w:tplc="0405000F" w:tentative="1">
      <w:start w:val="1"/>
      <w:numFmt w:val="decimal"/>
      <w:lvlText w:val="%7."/>
      <w:lvlJc w:val="left"/>
      <w:pPr>
        <w:ind w:left="4980" w:hanging="360"/>
      </w:pPr>
    </w:lvl>
    <w:lvl w:ilvl="7" w:tplc="04050019" w:tentative="1">
      <w:start w:val="1"/>
      <w:numFmt w:val="lowerLetter"/>
      <w:lvlText w:val="%8."/>
      <w:lvlJc w:val="left"/>
      <w:pPr>
        <w:ind w:left="5700" w:hanging="360"/>
      </w:pPr>
    </w:lvl>
    <w:lvl w:ilvl="8" w:tplc="040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3DD97E18"/>
    <w:multiLevelType w:val="hybridMultilevel"/>
    <w:tmpl w:val="805A8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5128F6"/>
    <w:multiLevelType w:val="hybridMultilevel"/>
    <w:tmpl w:val="2D7A01B0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855F84"/>
    <w:multiLevelType w:val="hybridMultilevel"/>
    <w:tmpl w:val="A81E0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74EB3C9B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8"/>
  </w:num>
  <w:num w:numId="5">
    <w:abstractNumId w:val="5"/>
  </w:num>
  <w:num w:numId="6">
    <w:abstractNumId w:val="7"/>
  </w:num>
  <w:num w:numId="7">
    <w:abstractNumId w:val="1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6E5"/>
    <w:rsid w:val="000513BF"/>
    <w:rsid w:val="00095B2C"/>
    <w:rsid w:val="000C4A33"/>
    <w:rsid w:val="000C521F"/>
    <w:rsid w:val="000D6C28"/>
    <w:rsid w:val="000E18CE"/>
    <w:rsid w:val="000E5A85"/>
    <w:rsid w:val="00115DD5"/>
    <w:rsid w:val="001B1234"/>
    <w:rsid w:val="00237006"/>
    <w:rsid w:val="00283373"/>
    <w:rsid w:val="002A18DA"/>
    <w:rsid w:val="002F01DD"/>
    <w:rsid w:val="0031020D"/>
    <w:rsid w:val="00322BBA"/>
    <w:rsid w:val="00360293"/>
    <w:rsid w:val="003740D2"/>
    <w:rsid w:val="00387B05"/>
    <w:rsid w:val="003B3116"/>
    <w:rsid w:val="004608BC"/>
    <w:rsid w:val="00466A76"/>
    <w:rsid w:val="00494A1F"/>
    <w:rsid w:val="004C5CC6"/>
    <w:rsid w:val="005B1A47"/>
    <w:rsid w:val="005B44FC"/>
    <w:rsid w:val="005E65A8"/>
    <w:rsid w:val="005F59CC"/>
    <w:rsid w:val="00630A18"/>
    <w:rsid w:val="00646D8B"/>
    <w:rsid w:val="00660AAF"/>
    <w:rsid w:val="00681D93"/>
    <w:rsid w:val="00713180"/>
    <w:rsid w:val="00755807"/>
    <w:rsid w:val="007A468F"/>
    <w:rsid w:val="007C0C9D"/>
    <w:rsid w:val="007F57DB"/>
    <w:rsid w:val="00800449"/>
    <w:rsid w:val="00810AA0"/>
    <w:rsid w:val="00842259"/>
    <w:rsid w:val="00860FF4"/>
    <w:rsid w:val="008B091A"/>
    <w:rsid w:val="008C6CAD"/>
    <w:rsid w:val="008E23A9"/>
    <w:rsid w:val="008F35D6"/>
    <w:rsid w:val="008F77F6"/>
    <w:rsid w:val="00905206"/>
    <w:rsid w:val="00922D1D"/>
    <w:rsid w:val="00925EA0"/>
    <w:rsid w:val="00961F70"/>
    <w:rsid w:val="009704D2"/>
    <w:rsid w:val="009870E8"/>
    <w:rsid w:val="00990FC5"/>
    <w:rsid w:val="00996672"/>
    <w:rsid w:val="009D193C"/>
    <w:rsid w:val="00A33AE9"/>
    <w:rsid w:val="00A33EE2"/>
    <w:rsid w:val="00A51417"/>
    <w:rsid w:val="00A976F5"/>
    <w:rsid w:val="00AA1B8F"/>
    <w:rsid w:val="00AA51BE"/>
    <w:rsid w:val="00AA7217"/>
    <w:rsid w:val="00AE5C5C"/>
    <w:rsid w:val="00AE7D40"/>
    <w:rsid w:val="00B476E7"/>
    <w:rsid w:val="00B53529"/>
    <w:rsid w:val="00B8089C"/>
    <w:rsid w:val="00BA148D"/>
    <w:rsid w:val="00BB0768"/>
    <w:rsid w:val="00C20639"/>
    <w:rsid w:val="00C3378E"/>
    <w:rsid w:val="00CA3033"/>
    <w:rsid w:val="00CC7349"/>
    <w:rsid w:val="00CC7C0D"/>
    <w:rsid w:val="00CD1B6B"/>
    <w:rsid w:val="00CF71EF"/>
    <w:rsid w:val="00D033E1"/>
    <w:rsid w:val="00D03D11"/>
    <w:rsid w:val="00D27C56"/>
    <w:rsid w:val="00D40240"/>
    <w:rsid w:val="00DC5FE9"/>
    <w:rsid w:val="00E10C74"/>
    <w:rsid w:val="00E5153D"/>
    <w:rsid w:val="00E52D50"/>
    <w:rsid w:val="00E85DBB"/>
    <w:rsid w:val="00EA7517"/>
    <w:rsid w:val="00EC70A1"/>
    <w:rsid w:val="00F24D60"/>
    <w:rsid w:val="00F44FAD"/>
    <w:rsid w:val="00F56560"/>
    <w:rsid w:val="00F85CDC"/>
    <w:rsid w:val="00FD535E"/>
    <w:rsid w:val="00FE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C5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0C521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/FrontClanek.aspx?idsekce=858" TargetMode="Externa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4.emf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emf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1029</Words>
  <Characters>6075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2015-04-22T06:26:00Z</dcterms:created>
  <dcterms:modified xsi:type="dcterms:W3CDTF">2015-04-22T10:36:00Z</dcterms:modified>
</cp:coreProperties>
</file>